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40"/>
          <w:sz w:val="72"/>
        </w:rPr>
        <w:t xml:space="preserve">苏州市高新区政府采购</w:t>
      </w:r>
      <w:r>
        <w:rPr>
          <w:color w:val="000000" w:themeColor="text1"/>
        </w:rPr>
      </w:r>
      <w:r/>
    </w:p>
    <w:p>
      <w:pPr>
        <w:ind w:left="0" w:right="0" w:firstLine="0"/>
        <w:jc w:val="center"/>
        <w:spacing w:before="156"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40"/>
          <w:sz w:val="72"/>
        </w:rPr>
        <w:t xml:space="preserve">竞争性磋商</w:t>
      </w:r>
      <w:r>
        <w:rPr>
          <w:rFonts w:ascii="SimSun" w:hAnsi="SimSun" w:eastAsia="SimSun" w:cs="SimSun"/>
          <w:b/>
          <w:color w:val="000000" w:themeColor="text1"/>
          <w:spacing w:val="20"/>
          <w:sz w:val="72"/>
        </w:rPr>
        <w:t xml:space="preserve">文件</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84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6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采购编号：</w:t>
      </w:r>
      <w:r>
        <w:rPr>
          <w:rFonts w:ascii="Times New Roman" w:hAnsi="Times New Roman" w:eastAsia="Times New Roman" w:cs="Times New Roman"/>
          <w:b/>
          <w:color w:val="000000" w:themeColor="text1"/>
          <w:sz w:val="32"/>
        </w:rPr>
        <w:t xml:space="preserve">JSZC-320505-SZHS-C2026-0005</w:t>
      </w:r>
      <w:r>
        <w:rPr>
          <w:color w:val="000000" w:themeColor="text1"/>
        </w:rPr>
      </w:r>
      <w:r/>
    </w:p>
    <w:p>
      <w:pPr>
        <w:ind w:left="0" w:right="0" w:firstLine="6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采购项目：</w:t>
      </w:r>
      <w:r>
        <w:rPr>
          <w:rFonts w:ascii="Times New Roman" w:hAnsi="Times New Roman" w:eastAsia="Times New Roman" w:cs="Times New Roman"/>
          <w:b/>
          <w:color w:val="000000" w:themeColor="text1"/>
          <w:sz w:val="32"/>
        </w:rPr>
        <w:t xml:space="preserve">2026</w:t>
      </w:r>
      <w:r>
        <w:rPr>
          <w:rFonts w:ascii="SimSun" w:hAnsi="SimSun" w:eastAsia="SimSun" w:cs="SimSun"/>
          <w:b/>
          <w:color w:val="000000" w:themeColor="text1"/>
          <w:sz w:val="32"/>
        </w:rPr>
        <w:t xml:space="preserve">年通安镇太湖蓝藻水草打捞项目</w:t>
      </w:r>
      <w:r>
        <w:rPr>
          <w:color w:val="000000" w:themeColor="text1"/>
        </w:rPr>
      </w:r>
      <w:r/>
    </w:p>
    <w:p>
      <w:pPr>
        <w:ind w:left="0" w:right="0" w:firstLine="6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采购单位：苏州高新区（虎丘区）通安镇人民政府</w:t>
      </w:r>
      <w:r>
        <w:rPr>
          <w:color w:val="000000" w:themeColor="text1"/>
        </w:rPr>
      </w:r>
      <w:r/>
    </w:p>
    <w:p>
      <w:pPr>
        <w:ind w:left="0" w:right="0" w:firstLine="6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采购类别：服务类</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苏州汇顺项目管理咨询有限公司</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二零二六年三月</w:t>
      </w:r>
      <w:r>
        <w:rPr>
          <w:color w:val="000000" w:themeColor="text1"/>
        </w:rPr>
        <w:br w:type="page" w:clear="all"/>
      </w:r>
      <w:r>
        <w:rPr>
          <w:rFonts w:ascii="Times New Roman" w:hAnsi="Times New Roman" w:eastAsia="Times New Roman" w:cs="Times New Roman"/>
          <w:color w:val="000000" w:themeColor="text1"/>
          <w:sz w:val="21"/>
        </w:rPr>
      </w:r>
      <w:r/>
    </w:p>
    <w:p>
      <w:pPr>
        <w:ind w:left="0" w:right="0"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前附表</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1701"/>
        <w:gridCol w:w="587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   目</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     容</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2026年通安镇太湖蓝藻水草打捞项目</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采购预算（元）</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人民币壹佰零伍万元整（￥：1050000.00）</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联合体</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不接受</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现场勘察</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本项目不组织统一踏勘，由供应商自行踏勘现场。</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答疑会</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网上答疑</w:t>
            </w:r>
            <w:r>
              <w:rPr>
                <w:color w:val="000000" w:themeColor="text1"/>
              </w:rPr>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响应文件份数</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网上响应文件</w:t>
            </w:r>
            <w:r>
              <w:rPr>
                <w:rFonts w:ascii="SimSun" w:hAnsi="SimSun" w:eastAsia="SimSun" w:cs="SimSun"/>
                <w:color w:val="000000" w:themeColor="text1"/>
                <w:sz w:val="21"/>
                <w:u w:val="single"/>
              </w:rPr>
              <w:t xml:space="preserve"> 壹 </w:t>
            </w:r>
            <w:r>
              <w:rPr>
                <w:rFonts w:ascii="SimSun" w:hAnsi="SimSun" w:eastAsia="SimSun" w:cs="SimSun"/>
                <w:color w:val="000000" w:themeColor="text1"/>
                <w:sz w:val="21"/>
              </w:rPr>
              <w:t xml:space="preserve">份</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响应货币</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人民币</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响应文件有效期</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90</w:t>
            </w:r>
            <w:r>
              <w:rPr>
                <w:rFonts w:ascii="SimSun" w:hAnsi="SimSun" w:eastAsia="SimSun" w:cs="SimSun"/>
                <w:color w:val="000000" w:themeColor="text1"/>
                <w:sz w:val="21"/>
              </w:rPr>
              <w:t xml:space="preserve">日历天（从磋商响应文件接收截止之日算起）</w:t>
            </w:r>
            <w:r>
              <w:rPr>
                <w:color w:val="000000" w:themeColor="text1"/>
              </w:rPr>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磋商响应文件接收截止时间</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时间：2026年04月14日13：30（北京时间）</w:t>
            </w:r>
            <w:r>
              <w:rPr>
                <w:color w:val="000000" w:themeColor="text1"/>
              </w:rPr>
            </w:r>
            <w:r/>
          </w:p>
        </w:tc>
      </w:tr>
      <w:tr>
        <w:trPr>
          <w:trHeight w:val="6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磋商截止时间</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时间：2026年04月14日13：30（北京时间）</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开启时间</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开启地点</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2026年04月14日13：30（北京时间）</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“苏采云”系统（</w:t>
            </w:r>
            <w:r>
              <w:rPr>
                <w:rFonts w:ascii="SimSun" w:hAnsi="SimSun" w:eastAsia="SimSun" w:cs="SimSun"/>
                <w:color w:val="000000" w:themeColor="text1"/>
                <w:sz w:val="21"/>
              </w:rPr>
              <w:t xml:space="preserve">网址：</w:t>
            </w:r>
            <w:hyperlink r:id="rId12" w:tooltip="http://jszfcg.jsczt.cn/" w:history="1">
              <w:r>
                <w:rPr>
                  <w:rStyle w:val="966"/>
                  <w:rFonts w:ascii="SimSun" w:hAnsi="SimSun" w:eastAsia="SimSun" w:cs="SimSun"/>
                  <w:color w:val="000000" w:themeColor="text1"/>
                  <w:sz w:val="21"/>
                  <w:u w:val="none"/>
                </w:rPr>
                <w:t xml:space="preserve">http://jszfcg.jsczt.cn/</w:t>
              </w:r>
            </w:hyperlink>
            <w:r>
              <w:rPr>
                <w:rFonts w:ascii="SimSun" w:hAnsi="SimSun" w:eastAsia="SimSun" w:cs="SimSun"/>
                <w:color w:val="000000" w:themeColor="text1"/>
                <w:sz w:val="21"/>
              </w:rPr>
              <w:t xml:space="preserve">）</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本项目为不见面磋商项目，开启阶段供应商在【供应商解密】环节必须使用</w:t>
            </w:r>
            <w:r>
              <w:rPr>
                <w:rFonts w:ascii="Times New Roman" w:hAnsi="Times New Roman" w:eastAsia="Times New Roman" w:cs="Times New Roman"/>
                <w:b/>
                <w:color w:val="000000" w:themeColor="text1"/>
                <w:sz w:val="21"/>
              </w:rPr>
              <w:t xml:space="preserve">CA</w:t>
            </w:r>
            <w:r>
              <w:rPr>
                <w:rFonts w:ascii="SimSun" w:hAnsi="SimSun" w:eastAsia="SimSun" w:cs="SimSun"/>
                <w:b/>
                <w:color w:val="000000" w:themeColor="text1"/>
                <w:sz w:val="21"/>
              </w:rPr>
              <w:t xml:space="preserve">证书解密电子响应文件，如在系统规定的解密时间</w:t>
            </w:r>
            <w:r>
              <w:rPr>
                <w:rFonts w:ascii="Times New Roman" w:hAnsi="Times New Roman" w:eastAsia="Times New Roman" w:cs="Times New Roman"/>
                <w:b/>
                <w:color w:val="000000" w:themeColor="text1"/>
                <w:sz w:val="21"/>
              </w:rPr>
              <w:t xml:space="preserve">(</w:t>
            </w:r>
            <w:r>
              <w:rPr>
                <w:rFonts w:ascii="SimSun" w:hAnsi="SimSun" w:eastAsia="SimSun" w:cs="SimSun"/>
                <w:b/>
                <w:color w:val="000000" w:themeColor="text1"/>
                <w:sz w:val="21"/>
              </w:rPr>
              <w:t xml:space="preserve">响应文件提交截止时间后</w:t>
            </w:r>
            <w:r>
              <w:rPr>
                <w:rFonts w:ascii="Times New Roman" w:hAnsi="Times New Roman" w:eastAsia="Times New Roman" w:cs="Times New Roman"/>
                <w:b/>
                <w:color w:val="000000" w:themeColor="text1"/>
                <w:sz w:val="21"/>
              </w:rPr>
              <w:t xml:space="preserve">30</w:t>
            </w:r>
            <w:r>
              <w:rPr>
                <w:rFonts w:ascii="SimSun" w:hAnsi="SimSun" w:eastAsia="SimSun" w:cs="SimSun"/>
                <w:b/>
                <w:color w:val="000000" w:themeColor="text1"/>
                <w:sz w:val="21"/>
              </w:rPr>
              <w:t xml:space="preserve">分钟</w:t>
            </w:r>
            <w:r>
              <w:rPr>
                <w:rFonts w:ascii="Times New Roman" w:hAnsi="Times New Roman" w:eastAsia="Times New Roman" w:cs="Times New Roman"/>
                <w:b/>
                <w:color w:val="000000" w:themeColor="text1"/>
                <w:sz w:val="21"/>
              </w:rPr>
              <w:t xml:space="preserve">)</w:t>
            </w:r>
            <w:r>
              <w:rPr>
                <w:rFonts w:ascii="SimSun" w:hAnsi="SimSun" w:eastAsia="SimSun" w:cs="SimSun"/>
                <w:b/>
                <w:color w:val="000000" w:themeColor="text1"/>
                <w:sz w:val="21"/>
              </w:rPr>
              <w:t xml:space="preserve">内未能完成解密的视为放弃参与本项目。</w:t>
            </w:r>
            <w:r>
              <w:rPr>
                <w:color w:val="000000" w:themeColor="text1"/>
              </w:rPr>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磋商时间和地点</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7"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时间：2026年04月14日13：30（北京时间）</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响应文件网上递交：“苏采云”系统（网址：http://jszfcg.jsczt.cn/），不需要现场参加采购活动，无需提供纸质响应文件。</w:t>
            </w:r>
            <w:r>
              <w:rPr>
                <w:color w:val="000000" w:themeColor="text1"/>
              </w:rPr>
            </w:r>
            <w:r/>
          </w:p>
        </w:tc>
      </w:tr>
    </w:tbl>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目  录</w:t>
      </w:r>
      <w:r>
        <w:rPr>
          <w:color w:val="000000" w:themeColor="text1"/>
        </w:rPr>
      </w:r>
      <w:r/>
    </w:p>
    <w:p>
      <w:pPr>
        <w:contextualSpacing w:val="0"/>
        <w:ind w:left="0" w:right="0" w:firstLine="0"/>
        <w:jc w:val="both"/>
        <w:spacing w:before="240" w:after="240" w:line="170" w:lineRule="atLeast"/>
        <w:shd w:val="clear" w:color="ffffff" w:fill="ffffff"/>
        <w:tabs>
          <w:tab w:val="left" w:pos="8193" w:leader="none"/>
        </w:tabs>
        <w:rPr>
          <w:color w:val="000000" w:themeColor="text1"/>
          <w:u w:val="none"/>
        </w:rPr>
        <w:pBdr>
          <w:top w:val="none" w:color="000000" w:sz="4" w:space="0"/>
          <w:left w:val="none" w:color="000000" w:sz="4" w:space="0"/>
          <w:bottom w:val="none" w:color="000000" w:sz="4" w:space="0"/>
          <w:right w:val="none" w:color="000000" w:sz="4" w:space="0"/>
        </w:pBdr>
        <w:suppressLineNumbers w:val="0"/>
      </w:pPr>
      <w:r>
        <w:rPr>
          <w:color w:val="000000" w:themeColor="text1"/>
          <w:u w:val="none"/>
        </w:rPr>
      </w:r>
      <w:hyperlink r:id="rId13" w:tooltip="http://jszfcg.jsczt.cn/jszc/onlyoffice/7.2.1-34/web-apps/apps/documenteditor/main/index_loader.html?_dc=7.2.1-34&amp;lang=zh&amp;customer=%20&amp;logo=%20&amp;headerlogo=%2Ffavicon.ico&amp;frameEditorId=iframePage&amp;compact=true&amp;parentOrigin=http://jszfcg.jsczt.cn#_Toc28173" w:history="1">
        <w:r>
          <w:rPr>
            <w:rStyle w:val="966"/>
            <w:rFonts w:ascii="SimSun" w:hAnsi="SimSun" w:eastAsia="SimSun" w:cs="SimSun"/>
            <w:color w:val="000000" w:themeColor="text1"/>
            <w:sz w:val="32"/>
            <w:highlight w:val="none"/>
            <w:u w:val="none"/>
          </w:rPr>
          <w:t xml:space="preserve">第一章</w:t>
        </w:r>
        <w:r>
          <w:rPr>
            <w:rStyle w:val="966"/>
            <w:rFonts w:ascii="SimSun" w:hAnsi="SimSun" w:eastAsia="SimSun" w:cs="SimSun"/>
            <w:color w:val="000000" w:themeColor="text1"/>
            <w:sz w:val="32"/>
            <w:highlight w:val="none"/>
            <w:u w:val="none"/>
          </w:rPr>
          <w:t xml:space="preserve"> </w:t>
        </w:r>
        <w:r>
          <w:rPr>
            <w:rStyle w:val="966"/>
            <w:rFonts w:ascii="SimSun" w:hAnsi="SimSun" w:eastAsia="SimSun" w:cs="SimSun"/>
            <w:color w:val="000000" w:themeColor="text1"/>
            <w:sz w:val="32"/>
            <w:highlight w:val="none"/>
            <w:u w:val="none"/>
          </w:rPr>
          <w:t xml:space="preserve">磋商邀请书</w:t>
        </w:r>
      </w:hyperlink>
      <w:r>
        <w:rPr>
          <w:color w:val="000000" w:themeColor="text1"/>
          <w:u w:val="none"/>
        </w:rPr>
      </w:r>
      <w:r/>
    </w:p>
    <w:p>
      <w:pPr>
        <w:contextualSpacing w:val="0"/>
        <w:ind w:left="0" w:right="0" w:firstLine="0"/>
        <w:jc w:val="both"/>
        <w:spacing w:before="240" w:after="240" w:line="170" w:lineRule="atLeast"/>
        <w:shd w:val="clear" w:color="ffffff" w:fill="ffffff"/>
        <w:tabs>
          <w:tab w:val="left" w:pos="8193" w:leader="none"/>
        </w:tabs>
        <w:rPr>
          <w:color w:val="000000" w:themeColor="text1"/>
          <w:u w:val="none"/>
        </w:rPr>
        <w:pBdr>
          <w:top w:val="none" w:color="000000" w:sz="4" w:space="0"/>
          <w:left w:val="none" w:color="000000" w:sz="4" w:space="0"/>
          <w:bottom w:val="none" w:color="000000" w:sz="4" w:space="0"/>
          <w:right w:val="none" w:color="000000" w:sz="4" w:space="0"/>
        </w:pBdr>
        <w:suppressLineNumbers w:val="0"/>
      </w:pPr>
      <w:r>
        <w:rPr>
          <w:color w:val="000000" w:themeColor="text1"/>
          <w:u w:val="none"/>
        </w:rPr>
      </w:r>
      <w:hyperlink r:id="rId14" w:tooltip="http://jszfcg.jsczt.cn/jszc/onlyoffice/7.2.1-34/web-apps/apps/documenteditor/main/index_loader.html?_dc=7.2.1-34&amp;lang=zh&amp;customer=%20&amp;logo=%20&amp;headerlogo=%2Ffavicon.ico&amp;frameEditorId=iframePage&amp;compact=true&amp;parentOrigin=http://jszfcg.jsczt.cn#_Toc24451" w:history="1">
        <w:r>
          <w:rPr>
            <w:rStyle w:val="966"/>
            <w:rFonts w:ascii="SimSun" w:hAnsi="SimSun" w:eastAsia="SimSun" w:cs="SimSun"/>
            <w:color w:val="000000" w:themeColor="text1"/>
            <w:sz w:val="32"/>
            <w:highlight w:val="none"/>
            <w:u w:val="none"/>
          </w:rPr>
          <w:t xml:space="preserve">第二章</w:t>
        </w:r>
        <w:r>
          <w:rPr>
            <w:rStyle w:val="966"/>
            <w:rFonts w:ascii="SimSun" w:hAnsi="SimSun" w:eastAsia="SimSun" w:cs="SimSun"/>
            <w:color w:val="000000" w:themeColor="text1"/>
            <w:sz w:val="32"/>
            <w:highlight w:val="none"/>
            <w:u w:val="none"/>
          </w:rPr>
          <w:t xml:space="preserve"> </w:t>
        </w:r>
        <w:r>
          <w:rPr>
            <w:rStyle w:val="966"/>
            <w:rFonts w:ascii="SimSun" w:hAnsi="SimSun" w:eastAsia="SimSun" w:cs="SimSun"/>
            <w:color w:val="000000" w:themeColor="text1"/>
            <w:sz w:val="32"/>
            <w:highlight w:val="none"/>
            <w:u w:val="none"/>
          </w:rPr>
          <w:t xml:space="preserve">磋商供应商须知</w:t>
        </w:r>
      </w:hyperlink>
      <w:r>
        <w:rPr>
          <w:color w:val="000000" w:themeColor="text1"/>
          <w:u w:val="none"/>
        </w:rPr>
      </w:r>
      <w:r/>
    </w:p>
    <w:p>
      <w:pPr>
        <w:contextualSpacing w:val="0"/>
        <w:ind w:left="0" w:right="0" w:firstLine="0"/>
        <w:jc w:val="both"/>
        <w:spacing w:before="240" w:after="240" w:line="170" w:lineRule="atLeast"/>
        <w:shd w:val="clear" w:color="ffffff" w:fill="ffffff"/>
        <w:tabs>
          <w:tab w:val="left" w:pos="8193" w:leader="none"/>
        </w:tabs>
        <w:rPr>
          <w:color w:val="000000" w:themeColor="text1"/>
          <w:u w:val="none"/>
        </w:rPr>
        <w:pBdr>
          <w:top w:val="none" w:color="000000" w:sz="4" w:space="0"/>
          <w:left w:val="none" w:color="000000" w:sz="4" w:space="0"/>
          <w:bottom w:val="none" w:color="000000" w:sz="4" w:space="0"/>
          <w:right w:val="none" w:color="000000" w:sz="4" w:space="0"/>
        </w:pBdr>
        <w:suppressLineNumbers w:val="0"/>
      </w:pPr>
      <w:r>
        <w:rPr>
          <w:color w:val="000000" w:themeColor="text1"/>
          <w:u w:val="none"/>
        </w:rPr>
      </w:r>
      <w:hyperlink r:id="rId15" w:tooltip="http://jszfcg.jsczt.cn/jszc/onlyoffice/7.2.1-34/web-apps/apps/documenteditor/main/index_loader.html?_dc=7.2.1-34&amp;lang=zh&amp;customer=%20&amp;logo=%20&amp;headerlogo=%2Ffavicon.ico&amp;frameEditorId=iframePage&amp;compact=true&amp;parentOrigin=http://jszfcg.jsczt.cn#_Toc16385" w:history="1">
        <w:r>
          <w:rPr>
            <w:rStyle w:val="966"/>
            <w:rFonts w:ascii="SimSun" w:hAnsi="SimSun" w:eastAsia="SimSun" w:cs="SimSun"/>
            <w:color w:val="000000" w:themeColor="text1"/>
            <w:sz w:val="32"/>
            <w:highlight w:val="none"/>
            <w:u w:val="none"/>
          </w:rPr>
          <w:t xml:space="preserve">第三章</w:t>
        </w:r>
        <w:r>
          <w:rPr>
            <w:rStyle w:val="966"/>
            <w:rFonts w:ascii="SimSun" w:hAnsi="SimSun" w:eastAsia="SimSun" w:cs="SimSun"/>
            <w:color w:val="000000" w:themeColor="text1"/>
            <w:sz w:val="32"/>
            <w:highlight w:val="none"/>
            <w:u w:val="none"/>
          </w:rPr>
          <w:t xml:space="preserve"> </w:t>
        </w:r>
        <w:r>
          <w:rPr>
            <w:rStyle w:val="966"/>
            <w:rFonts w:ascii="SimSun" w:hAnsi="SimSun" w:eastAsia="SimSun" w:cs="SimSun"/>
            <w:color w:val="000000" w:themeColor="text1"/>
            <w:sz w:val="32"/>
            <w:highlight w:val="none"/>
            <w:u w:val="none"/>
          </w:rPr>
          <w:t xml:space="preserve">响应文件格式</w:t>
        </w:r>
      </w:hyperlink>
      <w:r>
        <w:rPr>
          <w:color w:val="000000" w:themeColor="text1"/>
          <w:u w:val="none"/>
        </w:rPr>
      </w:r>
      <w:r/>
    </w:p>
    <w:p>
      <w:pPr>
        <w:contextualSpacing w:val="0"/>
        <w:ind w:left="0" w:right="0" w:firstLine="0"/>
        <w:jc w:val="both"/>
        <w:spacing w:before="240" w:after="240" w:line="170" w:lineRule="atLeast"/>
        <w:shd w:val="clear" w:color="ffffff" w:fill="ffffff"/>
        <w:tabs>
          <w:tab w:val="left" w:pos="8193" w:leader="none"/>
        </w:tabs>
        <w:rPr>
          <w:color w:val="000000" w:themeColor="text1"/>
          <w:u w:val="none"/>
        </w:rPr>
        <w:pBdr>
          <w:top w:val="none" w:color="000000" w:sz="4" w:space="0"/>
          <w:left w:val="none" w:color="000000" w:sz="4" w:space="0"/>
          <w:bottom w:val="none" w:color="000000" w:sz="4" w:space="0"/>
          <w:right w:val="none" w:color="000000" w:sz="4" w:space="0"/>
        </w:pBdr>
        <w:suppressLineNumbers w:val="0"/>
      </w:pPr>
      <w:r>
        <w:rPr>
          <w:color w:val="000000" w:themeColor="text1"/>
          <w:u w:val="none"/>
        </w:rPr>
      </w:r>
      <w:hyperlink r:id="rId16" w:tooltip="http://jszfcg.jsczt.cn/jszc/onlyoffice/7.2.1-34/web-apps/apps/documenteditor/main/index_loader.html?_dc=7.2.1-34&amp;lang=zh&amp;customer=%20&amp;logo=%20&amp;headerlogo=%2Ffavicon.ico&amp;frameEditorId=iframePage&amp;compact=true&amp;parentOrigin=http://jszfcg.jsczt.cn#_Toc30743" w:history="1">
        <w:r>
          <w:rPr>
            <w:rStyle w:val="966"/>
            <w:rFonts w:ascii="SimSun" w:hAnsi="SimSun" w:eastAsia="SimSun" w:cs="SimSun"/>
            <w:color w:val="000000" w:themeColor="text1"/>
            <w:sz w:val="32"/>
            <w:highlight w:val="none"/>
            <w:u w:val="none"/>
          </w:rPr>
          <w:t xml:space="preserve">第四章</w:t>
        </w:r>
        <w:r>
          <w:rPr>
            <w:rStyle w:val="966"/>
            <w:rFonts w:ascii="SimSun" w:hAnsi="SimSun" w:eastAsia="SimSun" w:cs="SimSun"/>
            <w:color w:val="000000" w:themeColor="text1"/>
            <w:sz w:val="32"/>
            <w:highlight w:val="none"/>
            <w:u w:val="none"/>
          </w:rPr>
          <w:t xml:space="preserve"> </w:t>
        </w:r>
        <w:r>
          <w:rPr>
            <w:rStyle w:val="966"/>
            <w:rFonts w:ascii="SimSun" w:hAnsi="SimSun" w:eastAsia="SimSun" w:cs="SimSun"/>
            <w:color w:val="000000" w:themeColor="text1"/>
            <w:sz w:val="32"/>
            <w:highlight w:val="none"/>
            <w:u w:val="none"/>
          </w:rPr>
          <w:t xml:space="preserve">采购需求</w:t>
        </w:r>
      </w:hyperlink>
      <w:r>
        <w:rPr>
          <w:color w:val="000000" w:themeColor="text1"/>
          <w:u w:val="none"/>
        </w:rPr>
      </w:r>
      <w:r/>
    </w:p>
    <w:p>
      <w:pPr>
        <w:contextualSpacing w:val="0"/>
        <w:ind w:left="0" w:right="0" w:firstLine="0"/>
        <w:jc w:val="both"/>
        <w:spacing w:before="240" w:after="240" w:line="170" w:lineRule="atLeast"/>
        <w:shd w:val="clear" w:color="ffffff" w:fill="ffffff"/>
        <w:tabs>
          <w:tab w:val="left" w:pos="8193" w:leader="none"/>
        </w:tabs>
        <w:rPr>
          <w:color w:val="000000" w:themeColor="text1"/>
          <w:u w:val="none"/>
        </w:rPr>
        <w:pBdr>
          <w:top w:val="none" w:color="000000" w:sz="4" w:space="0"/>
          <w:left w:val="none" w:color="000000" w:sz="4" w:space="0"/>
          <w:bottom w:val="none" w:color="000000" w:sz="4" w:space="0"/>
          <w:right w:val="none" w:color="000000" w:sz="4" w:space="0"/>
        </w:pBdr>
        <w:suppressLineNumbers w:val="0"/>
      </w:pPr>
      <w:r>
        <w:rPr>
          <w:color w:val="000000" w:themeColor="text1"/>
          <w:u w:val="none"/>
        </w:rPr>
      </w:r>
      <w:hyperlink r:id="rId17" w:tooltip="http://jszfcg.jsczt.cn/jszc/onlyoffice/7.2.1-34/web-apps/apps/documenteditor/main/index_loader.html?_dc=7.2.1-34&amp;lang=zh&amp;customer=%20&amp;logo=%20&amp;headerlogo=%2Ffavicon.ico&amp;frameEditorId=iframePage&amp;compact=true&amp;parentOrigin=http://jszfcg.jsczt.cn#_Toc6806" w:history="1">
        <w:r>
          <w:rPr>
            <w:rStyle w:val="966"/>
            <w:rFonts w:ascii="SimSun" w:hAnsi="SimSun" w:eastAsia="SimSun" w:cs="SimSun"/>
            <w:color w:val="000000" w:themeColor="text1"/>
            <w:sz w:val="32"/>
            <w:highlight w:val="none"/>
            <w:u w:val="none"/>
          </w:rPr>
          <w:t xml:space="preserve">第五章</w:t>
        </w:r>
        <w:r>
          <w:rPr>
            <w:rStyle w:val="966"/>
            <w:rFonts w:ascii="SimSun" w:hAnsi="SimSun" w:eastAsia="SimSun" w:cs="SimSun"/>
            <w:color w:val="000000" w:themeColor="text1"/>
            <w:sz w:val="32"/>
            <w:highlight w:val="none"/>
            <w:u w:val="none"/>
          </w:rPr>
          <w:t xml:space="preserve"> </w:t>
        </w:r>
        <w:r>
          <w:rPr>
            <w:rStyle w:val="966"/>
            <w:rFonts w:ascii="SimSun" w:hAnsi="SimSun" w:eastAsia="SimSun" w:cs="SimSun"/>
            <w:color w:val="000000" w:themeColor="text1"/>
            <w:sz w:val="32"/>
            <w:highlight w:val="none"/>
            <w:u w:val="none"/>
          </w:rPr>
          <w:t xml:space="preserve">合同的主要条款</w:t>
        </w:r>
      </w:hyperlink>
      <w:r>
        <w:rPr>
          <w:color w:val="000000" w:themeColor="text1"/>
          <w:u w:val="none"/>
        </w:rPr>
      </w:r>
      <w:r/>
    </w:p>
    <w:p>
      <w:pPr>
        <w:contextualSpacing w:val="0"/>
        <w:ind w:left="0" w:right="0" w:firstLine="0"/>
        <w:jc w:val="both"/>
        <w:spacing w:before="240" w:after="240" w:line="170" w:lineRule="atLeast"/>
        <w:shd w:val="clear" w:color="ffffff" w:fill="ffffff"/>
        <w:tabs>
          <w:tab w:val="left" w:pos="8193" w:leader="none"/>
        </w:tabs>
        <w:rPr>
          <w:color w:val="000000" w:themeColor="text1"/>
          <w:u w:val="none"/>
        </w:rPr>
        <w:pBdr>
          <w:top w:val="none" w:color="000000" w:sz="4" w:space="0"/>
          <w:left w:val="none" w:color="000000" w:sz="4" w:space="0"/>
          <w:bottom w:val="none" w:color="000000" w:sz="4" w:space="0"/>
          <w:right w:val="none" w:color="000000" w:sz="4" w:space="0"/>
        </w:pBdr>
        <w:suppressLineNumbers w:val="0"/>
      </w:pPr>
      <w:r>
        <w:rPr>
          <w:color w:val="000000" w:themeColor="text1"/>
          <w:u w:val="none"/>
        </w:rPr>
      </w:r>
      <w:hyperlink r:id="rId18" w:tooltip="http://jszfcg.jsczt.cn/jszc/onlyoffice/7.2.1-34/web-apps/apps/documenteditor/main/index_loader.html?_dc=7.2.1-34&amp;lang=zh&amp;customer=%20&amp;logo=%20&amp;headerlogo=%2Ffavicon.ico&amp;frameEditorId=iframePage&amp;compact=true&amp;parentOrigin=http://jszfcg.jsczt.cn#_Toc3201" w:history="1">
        <w:r>
          <w:rPr>
            <w:rStyle w:val="966"/>
            <w:rFonts w:ascii="SimSun" w:hAnsi="SimSun" w:eastAsia="SimSun" w:cs="SimSun"/>
            <w:color w:val="000000" w:themeColor="text1"/>
            <w:sz w:val="32"/>
            <w:highlight w:val="none"/>
            <w:u w:val="none"/>
          </w:rPr>
          <w:t xml:space="preserve">第六章</w:t>
        </w:r>
        <w:r>
          <w:rPr>
            <w:rStyle w:val="966"/>
            <w:rFonts w:ascii="SimSun" w:hAnsi="SimSun" w:eastAsia="SimSun" w:cs="SimSun"/>
            <w:color w:val="000000" w:themeColor="text1"/>
            <w:sz w:val="32"/>
            <w:highlight w:val="none"/>
            <w:u w:val="none"/>
          </w:rPr>
          <w:t xml:space="preserve"> </w:t>
        </w:r>
        <w:r>
          <w:rPr>
            <w:rStyle w:val="966"/>
            <w:rFonts w:ascii="SimSun" w:hAnsi="SimSun" w:eastAsia="SimSun" w:cs="SimSun"/>
            <w:color w:val="000000" w:themeColor="text1"/>
            <w:sz w:val="32"/>
            <w:highlight w:val="none"/>
            <w:u w:val="none"/>
          </w:rPr>
          <w:t xml:space="preserve">评审办法及评分标准</w:t>
        </w:r>
      </w:hyperlink>
      <w:r>
        <w:rPr>
          <w:color w:val="000000" w:themeColor="text1"/>
          <w:u w:val="none"/>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第一章</w:t>
      </w:r>
      <w:r>
        <w:rPr>
          <w:rFonts w:ascii="Times New Roman" w:hAnsi="Times New Roman" w:eastAsia="Times New Roman" w:cs="Times New Roman"/>
          <w:b/>
          <w:color w:val="000000" w:themeColor="text1"/>
          <w:sz w:val="44"/>
        </w:rPr>
        <w:t xml:space="preserve"> </w:t>
      </w:r>
      <w:r>
        <w:rPr>
          <w:rFonts w:ascii="SimSun" w:hAnsi="SimSun" w:eastAsia="SimSun" w:cs="SimSun"/>
          <w:b/>
          <w:color w:val="000000" w:themeColor="text1"/>
          <w:sz w:val="44"/>
        </w:rPr>
        <w:t xml:space="preserve">磋商邀请书</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0" w:type="dxa"/>
            <w:vAlign w:val="top"/>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项目概况：</w:t>
            </w:r>
            <w:r>
              <w:rPr>
                <w:color w:val="000000" w:themeColor="text1"/>
              </w:rPr>
            </w: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2026年通安镇太湖蓝藻水草打捞项目JSZC-320505-SZHS-C2026-0005采购项目的潜在供应商应在“苏采云”系统（网址：</w:t>
            </w:r>
            <w:hyperlink r:id="rId19" w:tooltip="http://jszfcg.jsczt.cn/%EF%BC%89%E8%8E%B7%E5%8F%96%E9%87%87%E8%B4%AD%E6%96%87%E4%BB%B6%EF%BC%8C%E5%B9%B6%E4%BA%8E2024-" w:history="1">
              <w:r>
                <w:rPr>
                  <w:rStyle w:val="966"/>
                  <w:rFonts w:ascii="SimSun" w:hAnsi="SimSun" w:eastAsia="SimSun" w:cs="SimSun"/>
                  <w:color w:val="000000" w:themeColor="text1"/>
                  <w:sz w:val="21"/>
                  <w:u w:val="none"/>
                </w:rPr>
                <w:t xml:space="preserve">http://jszfcg.jsczt.cn/）获取采购文件，并于2026-</w:t>
              </w:r>
            </w:hyperlink>
            <w:r>
              <w:rPr>
                <w:rFonts w:ascii="SimSun" w:hAnsi="SimSun" w:eastAsia="SimSun" w:cs="SimSun"/>
                <w:color w:val="000000" w:themeColor="text1"/>
                <w:sz w:val="21"/>
              </w:rPr>
              <w:t xml:space="preserve">04-14  13:30（北京时间）前提交响应文件。</w:t>
            </w:r>
            <w:r>
              <w:rPr>
                <w:color w:val="000000" w:themeColor="text1"/>
              </w:rPr>
            </w:r>
            <w:r/>
          </w:p>
        </w:tc>
      </w:tr>
    </w:tbl>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一、项目基本情况</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1.项目编号：</w:t>
      </w:r>
      <w:r>
        <w:rPr>
          <w:rFonts w:ascii="SimSun" w:hAnsi="SimSun" w:eastAsia="SimSun" w:cs="SimSun"/>
          <w:color w:val="000000" w:themeColor="text1"/>
          <w:sz w:val="21"/>
        </w:rPr>
        <w:t xml:space="preserve">JSZC-320505-SZHS-C2026-0005</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2.项目名称：</w:t>
      </w:r>
      <w:r>
        <w:rPr>
          <w:rFonts w:ascii="SimSun" w:hAnsi="SimSun" w:eastAsia="SimSun" w:cs="SimSun"/>
          <w:color w:val="000000" w:themeColor="text1"/>
          <w:sz w:val="21"/>
        </w:rPr>
        <w:t xml:space="preserve">2026年通安镇太湖蓝藻水草打捞项目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3.采购方式：</w:t>
      </w:r>
      <w:r>
        <w:rPr>
          <w:rFonts w:ascii="SimSun" w:hAnsi="SimSun" w:eastAsia="SimSun" w:cs="SimSun"/>
          <w:color w:val="000000" w:themeColor="text1"/>
          <w:sz w:val="21"/>
        </w:rPr>
        <w:t xml:space="preserve">竞争性磋商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4.预算金额：</w:t>
      </w:r>
      <w:r>
        <w:rPr>
          <w:rFonts w:ascii="SimSun" w:hAnsi="SimSun" w:eastAsia="SimSun" w:cs="SimSun"/>
          <w:color w:val="000000" w:themeColor="text1"/>
          <w:sz w:val="21"/>
        </w:rPr>
        <w:t xml:space="preserve">人民币壹佰零伍万元整（￥：1050000.00）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5.最高限价：</w:t>
      </w:r>
      <w:r>
        <w:rPr>
          <w:rFonts w:ascii="SimSun" w:hAnsi="SimSun" w:eastAsia="SimSun" w:cs="SimSun"/>
          <w:color w:val="000000" w:themeColor="text1"/>
          <w:sz w:val="21"/>
        </w:rPr>
        <w:t xml:space="preserve">人民币壹佰零伍万元整（￥：1050000.00）</w:t>
      </w:r>
      <w:r>
        <w:rPr>
          <w:color w:val="000000" w:themeColor="text1"/>
        </w:rPr>
      </w:r>
      <w:r/>
    </w:p>
    <w:p>
      <w:pPr>
        <w:ind w:left="0" w:right="0" w:firstLine="0"/>
        <w:jc w:val="both"/>
        <w:spacing w:before="0" w:after="0" w:line="85" w:lineRule="atLeast"/>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6.采购需求：</w:t>
      </w:r>
      <w:r>
        <w:rPr>
          <w:rFonts w:ascii="SimSun" w:hAnsi="SimSun" w:eastAsia="SimSun" w:cs="SimSun"/>
          <w:color w:val="000000" w:themeColor="text1"/>
          <w:sz w:val="21"/>
        </w:rPr>
        <w:t xml:space="preserve">2026年通安镇太湖蓝藻水草打捞，具体详见竞争性磋商采购文件第四章。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7.合同履行期限：</w:t>
      </w:r>
      <w:r>
        <w:rPr>
          <w:rFonts w:ascii="SimSun" w:hAnsi="SimSun" w:eastAsia="SimSun" w:cs="SimSun"/>
          <w:color w:val="000000" w:themeColor="text1"/>
          <w:sz w:val="21"/>
        </w:rPr>
        <w:t xml:space="preserve">一年（具体起止时间以合同签订为准）。</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8.本项目不接受联合体投标。</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9.本项目不允许转包、分包。</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二、申请人的资格要求：</w:t>
      </w:r>
      <w:r>
        <w:rPr>
          <w:color w:val="000000" w:themeColor="text1"/>
        </w:rPr>
      </w:r>
      <w:r/>
    </w:p>
    <w:p>
      <w:pPr>
        <w:ind w:left="0" w:right="0" w:firstLine="0"/>
        <w:spacing w:before="0" w:after="0" w:line="43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1.满足《中华人民共和国政府采购法》第二十二条规定，供应商应当具备下列条件：</w:t>
      </w:r>
      <w:r>
        <w:rPr>
          <w:color w:val="000000" w:themeColor="text1"/>
        </w:rPr>
      </w:r>
      <w:r/>
    </w:p>
    <w:p>
      <w:pPr>
        <w:ind w:left="0" w:right="0" w:firstLine="0"/>
        <w:spacing w:before="0" w:after="0" w:line="43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1.1.具有独立承担民事责任的能力；</w:t>
      </w:r>
      <w:r>
        <w:rPr>
          <w:color w:val="000000" w:themeColor="text1"/>
        </w:rPr>
      </w:r>
      <w:r/>
    </w:p>
    <w:p>
      <w:pPr>
        <w:ind w:left="0" w:right="0" w:firstLine="0"/>
        <w:spacing w:before="0" w:after="0" w:line="43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1.2.具有良好的商业信誉和健全的财务会计制度；</w:t>
      </w:r>
      <w:r>
        <w:rPr>
          <w:color w:val="000000" w:themeColor="text1"/>
        </w:rPr>
      </w:r>
      <w:r/>
    </w:p>
    <w:p>
      <w:pPr>
        <w:ind w:left="0" w:right="0" w:firstLine="0"/>
        <w:spacing w:before="0" w:after="0" w:line="43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1.3.具有履行合同所必需的设备和专业技术能力；</w:t>
      </w:r>
      <w:r>
        <w:rPr>
          <w:color w:val="000000" w:themeColor="text1"/>
        </w:rPr>
      </w:r>
      <w:r/>
    </w:p>
    <w:p>
      <w:pPr>
        <w:ind w:left="0" w:right="0" w:firstLine="0"/>
        <w:spacing w:before="0" w:after="0" w:line="43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1.4.有依法缴纳税收和社会保障资金的良好记录；</w:t>
      </w:r>
      <w:r>
        <w:rPr>
          <w:color w:val="000000" w:themeColor="text1"/>
        </w:rPr>
      </w:r>
      <w:r/>
    </w:p>
    <w:p>
      <w:pPr>
        <w:ind w:left="0" w:right="0" w:firstLine="0"/>
        <w:spacing w:before="0" w:after="0" w:line="43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1.5.参加政府采购活动前三年内，在经营活动中没有重大违法记录；</w:t>
      </w:r>
      <w:r>
        <w:rPr>
          <w:color w:val="000000" w:themeColor="text1"/>
        </w:rPr>
      </w:r>
      <w:r/>
    </w:p>
    <w:p>
      <w:pPr>
        <w:ind w:left="0" w:right="0" w:firstLine="0"/>
        <w:spacing w:before="0" w:after="0" w:line="439"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1.6.法律、行政法规规定的其他条件。</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2.落实政府釆购政策需满足的资格要求：</w:t>
      </w:r>
      <w:r>
        <w:rPr>
          <w:rFonts w:ascii="SimSun" w:hAnsi="SimSun" w:eastAsia="SimSun" w:cs="SimSun"/>
          <w:b/>
          <w:color w:val="000000" w:themeColor="text1"/>
          <w:sz w:val="21"/>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其他未列明行业。</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3.</w:t>
      </w:r>
      <w:r>
        <w:rPr>
          <w:rFonts w:ascii="SimSun" w:hAnsi="SimSun" w:eastAsia="SimSun" w:cs="SimSun"/>
          <w:b/>
          <w:color w:val="000000" w:themeColor="text1"/>
          <w:sz w:val="21"/>
        </w:rPr>
        <w:t xml:space="preserve">本项目的特定资格要求：</w:t>
      </w:r>
      <w:r>
        <w:rPr>
          <w:rFonts w:ascii="SimSun" w:hAnsi="SimSun" w:eastAsia="SimSun" w:cs="SimSun"/>
          <w:color w:val="000000" w:themeColor="text1"/>
          <w:sz w:val="21"/>
        </w:rPr>
        <w:t xml:space="preserve">无。</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4.拒绝下列供应商参加本次采购活动：</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4.1单位负责人为同一人或者存在直接控股、管理关系的不同供应商（包含法定代表人为同一个人的两个及两个以上法人，母公司、全资子公司及其控股公司），参加同一合同项下的政府采购活动。</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4.2根据政府采购法及相关法规，以及苏州市财政局《关于印发苏州市市级政府采购信用记录查询和使用工作试行办法的通知》（苏财购（2017）11号）文件的规定，采购代理人对供应商进行信用查询，查询结果被列入失信被执行人、重大税收违法案件当事人名单、政府采购严重违法失信行为记录名单的供应商。</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4.3为采购项目提供整体设计、规范编制或者项目管理、监理、检测等服务的供应商。</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4.4法人的分支机构参加政府采购活动（除银行、保险、石油石化、电力、电信等行业特殊情况外）。</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三、获取采购文件</w:t>
      </w:r>
      <w:r>
        <w:rPr>
          <w:color w:val="000000" w:themeColor="text1"/>
        </w:rPr>
      </w:r>
      <w:r/>
    </w:p>
    <w:p>
      <w:pPr>
        <w:ind w:left="0" w:right="0" w:firstLine="0"/>
        <w:spacing w:before="0" w:after="0" w:line="38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1.时间：自磋商文件公告发布之日起5个工作日。</w:t>
      </w:r>
      <w:r>
        <w:rPr>
          <w:color w:val="000000" w:themeColor="text1"/>
        </w:rPr>
      </w:r>
      <w:r/>
    </w:p>
    <w:p>
      <w:pPr>
        <w:ind w:left="0" w:right="0" w:firstLine="0"/>
        <w:spacing w:before="0" w:after="0" w:line="38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2.地点：“苏采云”系统（网址：http://jszfcg.jsczt.cn/）。 </w:t>
      </w:r>
      <w:r>
        <w:rPr>
          <w:color w:val="000000" w:themeColor="text1"/>
        </w:rPr>
      </w:r>
      <w:r/>
    </w:p>
    <w:p>
      <w:pPr>
        <w:ind w:left="0" w:right="0" w:firstLine="0"/>
        <w:spacing w:before="0" w:after="0" w:line="38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3.方式：自行下载。 </w:t>
      </w:r>
      <w:r>
        <w:rPr>
          <w:color w:val="000000" w:themeColor="text1"/>
        </w:rPr>
      </w:r>
      <w:r/>
    </w:p>
    <w:p>
      <w:pPr>
        <w:ind w:left="0" w:right="0" w:firstLine="0"/>
        <w:spacing w:before="0" w:after="0" w:line="38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4.售价：0.00元。</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5.报名流程：</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（1）CA证书办理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themeColor="text1"/>
          <w:sz w:val="21"/>
        </w:rPr>
        <w:t xml:space="preserve">苏州现场办理地址：苏州市高新区邓尉路105号狮山科技馆一楼服务大厅，咨询电话：0512- 65737699。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（2）参与采购活动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（3）电子投标准备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（4）补充通知（如有）。成功获取磋商文件的供应商通过“苏州市政府采购网”或“苏采云”系统自行查看所报项目的补充通知。</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6.在系统操作过程中如有疑问，请按以下方式联系：</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注册咨询：13914088964、18261002950；</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CA技术咨询电话：400-608-6099；</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签章使用问题：025-83633811、025-83633812、15380932027、13675197356；</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系统使用指导与咨询：联系电话：13914088964、18261002950；智能客服：登录苏采云系统后，联系系统右下方智能客服图标进行咨询。</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四、响应文件提交</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1.截止时间：2026-04-14 13:30 （北京时间）。</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2.地点：“苏采云”系统（网址：http://jszfcg.jsczt.cn/）。响应文件网上递交，不需要现场参加采购活动，无需提供纸质响应文件。</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五、开启</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1.开启时间：2026年04月14日13:30（北京时间）。</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2.地点：“苏采云”系统（网址：http://jszfcg.jsczt.cn/）。</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3.线上参加开标（开启）会方式：供应商登录“苏采云”系统在平台首页点击“开标大厅”，进入江苏省政府采购一体化不见面开标（采购）大厅，在今日项目列表，点击项目，进入不见面开标系统。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themeColor="text1"/>
          <w:sz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请供应商确保电脑、系统及其他设备（视频输入输出设备等）无误，且开启直至项目结束始终保持系统在线状态。</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六、公告期限</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自本公告发布之日起3个工作日。</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七、其他补充事宜</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1.本项目支持政府采购合同信用融资，具体详见《政府采购合同信用融资政策告知函》。</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2.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做任何答复与考虑。</w:t>
      </w:r>
      <w:r>
        <w:rPr>
          <w:rFonts w:ascii="SimSun" w:hAnsi="SimSun" w:eastAsia="SimSun" w:cs="SimSun"/>
          <w:b/>
          <w:color w:val="000000" w:themeColor="text1"/>
          <w:sz w:val="21"/>
        </w:rPr>
        <w:t xml:space="preserve">勘察现场费用自理。</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3.质疑联系方式：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4.网上响应文件请按磋商文件要求的响应文件的组成要求进行制作。本项目采用网上报名、网上提交响应文件，未使用上述方式将导致无法报名或投标失败。本项目获取采购文件截止日期之后仍可以下载采购文件，但截止日期之后下载的采购文件，视为非有效方式且不作为供应商权益受到损害的证明材料和依据。</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5.有关本次采购的事项若存在变动或修改，敬请及时关注在“江苏省政府采购网、苏州市政府采购网”发布的更正公告。</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6.政府采购监管部门监督电话：0512-68751335。</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八、对本次采购提出询问，请按以下方式联系。</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1.釆购人信息</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名称：苏州高新区（虎丘区）通安镇人民政府 </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联系人：夏青       </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联系电话：0512- 66073086        </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地址：江苏省苏州市虎丘区通浒路88号</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2.采购代理机构信息</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名称：苏州汇顺项目管理咨询有限公司</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地址：苏州市高新区鹿山路369号39幢318室</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联系方式：0512-63672251</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3.项目联系方式</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项目联系人：周蕴希、谢东宏</w:t>
      </w:r>
      <w:r>
        <w:rPr>
          <w:color w:val="000000" w:themeColor="text1"/>
        </w:rPr>
      </w:r>
      <w:r/>
    </w:p>
    <w:p>
      <w:pPr>
        <w:contextualSpacing w:val="0"/>
        <w:ind w:left="0" w:right="0" w:firstLine="0"/>
        <w:jc w:val="both"/>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联系电话：0512-63672251</w:t>
      </w:r>
      <w:r>
        <w:rPr>
          <w:color w:val="000000" w:themeColor="text1"/>
        </w:rPr>
      </w:r>
      <w:r/>
    </w:p>
    <w:p>
      <w:pPr>
        <w:contextualSpacing w:val="0"/>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九、</w:t>
      </w:r>
      <w:r>
        <w:rPr>
          <w:rFonts w:ascii="SimSun" w:hAnsi="SimSun" w:eastAsia="SimSun" w:cs="SimSun"/>
          <w:color w:val="000000" w:themeColor="text1"/>
          <w:sz w:val="21"/>
        </w:rPr>
        <w:t xml:space="preserve">请各单位获取本次磋商采购文件后，认真阅读各项内容，进行必要准备工作，按文件的要求详细填写和编制响应文件，并按以上确定的时间、地点准时参加磋商。</w:t>
      </w:r>
      <w:r>
        <w:rPr>
          <w:color w:val="000000" w:themeColor="text1"/>
        </w:rPr>
      </w:r>
      <w:r/>
    </w:p>
    <w:p>
      <w:pPr>
        <w:ind w:left="0" w:right="0" w:firstLine="0"/>
        <w:jc w:val="righ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line="85" w:lineRule="atLeast"/>
        <w:rPr>
          <w:rFonts w:ascii="SimSun" w:hAnsi="SimSun" w:eastAsia="SimSun" w:cs="SimSun"/>
          <w:b/>
          <w:bCs/>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政府采购合同信用融资政策告知函</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各政府采购供应商：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欢迎贵公司参加苏州市政府采购活动！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第二章</w:t>
      </w:r>
      <w:r>
        <w:rPr>
          <w:rFonts w:ascii="Times New Roman" w:hAnsi="Times New Roman" w:eastAsia="Times New Roman" w:cs="Times New Roman"/>
          <w:b/>
          <w:color w:val="000000" w:themeColor="text1"/>
          <w:sz w:val="44"/>
        </w:rPr>
        <w:t xml:space="preserve"> </w:t>
      </w:r>
      <w:r>
        <w:rPr>
          <w:rFonts w:ascii="SimSun" w:hAnsi="SimSun" w:eastAsia="SimSun" w:cs="SimSun"/>
          <w:b/>
          <w:color w:val="000000" w:themeColor="text1"/>
          <w:sz w:val="44"/>
        </w:rPr>
        <w:t xml:space="preserve">磋商供应商须知</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w:t>
      </w:r>
      <w:r>
        <w:rPr>
          <w:rFonts w:ascii="SimSun" w:hAnsi="SimSun" w:eastAsia="SimSun" w:cs="SimSun"/>
          <w:b/>
          <w:color w:val="000000" w:themeColor="text1"/>
          <w:sz w:val="21"/>
          <w:u w:val="none"/>
        </w:rPr>
        <w:t xml:space="preserve">★</w:t>
      </w:r>
      <w:r>
        <w:rPr>
          <w:rFonts w:ascii="SimSun" w:hAnsi="SimSun" w:eastAsia="SimSun" w:cs="SimSun"/>
          <w:b/>
          <w:color w:val="000000" w:themeColor="text1"/>
          <w:sz w:val="21"/>
        </w:rPr>
        <w:t xml:space="preserve">合格磋商供应商的资格条件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1.1.《中华人民共和国政府采购法》第二十二条规定。</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1.2.</w:t>
      </w:r>
      <w:r>
        <w:rPr>
          <w:rFonts w:ascii="SimSun" w:hAnsi="SimSun" w:eastAsia="SimSun" w:cs="SimSun"/>
          <w:b/>
          <w:color w:val="000000" w:themeColor="text1"/>
          <w:sz w:val="21"/>
        </w:rPr>
        <w:t xml:space="preserve">落实政府釆购政策需满足的资格要求：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其他未列明行业。</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1.3.</w:t>
      </w:r>
      <w:r>
        <w:rPr>
          <w:rFonts w:ascii="SimSun" w:hAnsi="SimSun" w:eastAsia="SimSun" w:cs="SimSun"/>
          <w:b/>
          <w:color w:val="000000" w:themeColor="text1"/>
          <w:sz w:val="21"/>
        </w:rPr>
        <w:t xml:space="preserve">本项目的特定资格要求：无。</w:t>
      </w:r>
      <w:r>
        <w:rPr>
          <w:color w:val="000000" w:themeColor="text1"/>
        </w:rPr>
      </w: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1.4.拒绝下列供应商参加本次采购活动：</w:t>
      </w:r>
      <w:r>
        <w:rPr>
          <w:color w:val="000000" w:themeColor="text1"/>
        </w:rPr>
      </w: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1.4.1.单位负责人为同一人或者存在直接控股、管理关系的不同供应商（包含法定代表人为同一个人的两个及两个以上法人，母公司、全资子公司及其控股公司），参加同一合同项下的政府采购活动。</w:t>
      </w:r>
      <w:r>
        <w:rPr>
          <w:color w:val="000000" w:themeColor="text1"/>
        </w:rPr>
      </w: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1.4.2.为采购项目提供整体设计、规范编制或者项目管理、监理、检测等服务的供应商。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1.4.3.对列入失信被执行人、重大税收违法案件当事人名单、政府采购严重违法失信行为记录名单的供应商。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（1）查询截止时点：响应文件递交截止时间。</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（2）查询渠道：</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（3）查询证据留存方式：</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（4）信用记录使用规则：</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在对供应商进行资格性审查时，应根据查询结果对供应商的不良信用记录逐项甄别确认。下列信用记录属于应依法拒绝供应商参加政府采购的失信信息：</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（一）政府采购严重违法记录，即供应商被全国各级财政部门列入“政府采购严重违法失信行为记录名单”，且在处罚有效期内的。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（二）财政部门与法院、工商、税务等部门联合惩戒的失信信息，包括：</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（1）被列入失信被执行人名单；</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（2）被列入重大税收违法案件当事人名单；</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1.4.4.法人的分支机构不得参加政府采购活动（除银行、保险、石油石化、电力、电信等行业特殊情况外）。</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2.政府采购政策</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政府采购促进中小企业发展，小企业（含小型、微型企业）提供的产品和服务在评标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2.5.提供的产品属于政府强制采购节能产品的，供应商应当选择经过认证的节能产品响应，并提供有效的节能产品认证证书复印件。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2.6.提供的产品属于环境标志产品的,供应商应当选择经过认证的环境标志产品响应,并提供有效的环境标志产品认证证书复印件。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2.7.如采购货物涉及协议供货相关产品的，执行协议供货相关政策。</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3.★联合体响应：</w:t>
      </w:r>
      <w:r>
        <w:rPr>
          <w:rFonts w:ascii="SimSun" w:hAnsi="SimSun" w:eastAsia="SimSun" w:cs="SimSun"/>
          <w:color w:val="000000" w:themeColor="text1"/>
          <w:sz w:val="21"/>
        </w:rPr>
        <w:t xml:space="preserve">不接受。</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3.1.两个以上的自然人、法人或者其他组织可以组成一个联合体，以一个供应商的身份共同参加政府采购。</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3.2.鼓励大中型企业和其他自然人、法人或者其他组织与小型、微型企业组成联合体共同参加非专门面向中小企业的政府采购活动。</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以联合体形式参加采购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w:t>
      </w:r>
      <w:r>
        <w:rPr>
          <w:rFonts w:ascii="SimSun" w:hAnsi="SimSun" w:eastAsia="SimSun" w:cs="SimSun"/>
          <w:color w:val="000000" w:themeColor="text1"/>
          <w:sz w:val="21"/>
        </w:rPr>
        <w:t xml:space="preserve">对应的供应商的应答材料确定。</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3.4.联合体各方之间应当签订联合体协议，明确约定联合体各方承担的工作和相应的责任，并将联合体协议连同响应文件一并提交。</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3.5.以联合体形式参加政府采购活动的，联合体各方不得再单独参加或者与其他供应商另外组成联合体参加同一合同项下的政府采购活动。</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4.★转包与分包与磋商费用</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4.1.本项目不允许转包或分包。</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4.2.无论磋商过程中的做法和结果如何，磋商供应商自行承担所有与参加磋商有关的全部费用。</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5.磋商文件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5.1.磋商文件的内容如下：</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第一章 磋商邀请书</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第二章 磋商供应商须知</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第三章 响应文件格式</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第四章 采购需求</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第五章 合同主要条款</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第六章 评审办法及评分标准</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6.磋商文件的澄清和修改</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6.2.磋商文件的澄清、修改等内容与竞争性磋商文件在同一内容的表述上不一致时，以发出日期最接近磋商时间的公告为准。</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6.3.磋商文件的澄清、修改等内容均将在财政部门指定的</w:t>
      </w:r>
      <w:r>
        <w:rPr>
          <w:rFonts w:ascii="SimSun" w:hAnsi="SimSun" w:eastAsia="SimSun" w:cs="SimSun"/>
          <w:b/>
          <w:color w:val="000000" w:themeColor="text1"/>
          <w:sz w:val="21"/>
        </w:rPr>
        <w:t xml:space="preserve">政府采购信息发布媒体</w:t>
      </w:r>
      <w:r>
        <w:rPr>
          <w:rFonts w:ascii="SimSun" w:hAnsi="SimSun" w:eastAsia="SimSun" w:cs="SimSun"/>
          <w:color w:val="000000" w:themeColor="text1"/>
          <w:sz w:val="21"/>
        </w:rPr>
        <w:t xml:space="preserve">上发布，作为磋商文件的组成部分，对供应商起到约束作用。</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7.★响应文件计量单位和使用文字</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7.1.响应文件中所使用的计量单位，除竞争性磋商文件中有特殊要求外，均应使用中华人民共和国法定计量单位。</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8.磋商响应文件的组成：</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8.1.封面；</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8.2.开标一览表（磋商报价表）；</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8.3.</w:t>
      </w:r>
      <w:r>
        <w:rPr>
          <w:rFonts w:ascii="SimSun" w:hAnsi="SimSun" w:eastAsia="SimSun" w:cs="SimSun"/>
          <w:color w:val="000000" w:themeColor="text1"/>
          <w:sz w:val="21"/>
        </w:rPr>
        <w:t xml:space="preserve">★</w:t>
      </w:r>
      <w:r>
        <w:rPr>
          <w:rFonts w:ascii="SimSun" w:hAnsi="SimSun" w:eastAsia="SimSun" w:cs="SimSun"/>
          <w:b/>
          <w:color w:val="000000" w:themeColor="text1"/>
          <w:sz w:val="21"/>
        </w:rPr>
        <w:t xml:space="preserve">资格审查响应文件</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8.3.1.关于资格文件的声明函（格式见第三章）；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8.3.2.磋商响应单位基本情况表（格式见第三章）；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8.3.3.磋商响应单位法定代表人身份证复印件；</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8.3.4.法定代表人授权委托书（如有授权，格式见第三章）；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8.3.5.磋商响应单位授权代理人身份证复印件（如有授权）；</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8.3.6.合格供应商的基本条件：</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8.3.6.1.具有独立承担民事责任的能力证明。包括法人或者其他组织的营业执照等证明文件，自然人的身份证明；</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8.3.6.2.具有良好的商业信誉和健全的财务会计制度证明</w:t>
      </w:r>
      <w:r>
        <w:rPr>
          <w:rFonts w:ascii="SimSun" w:hAnsi="SimSun" w:eastAsia="SimSun" w:cs="SimSun"/>
          <w:b/>
          <w:color w:val="000000" w:themeColor="text1"/>
          <w:sz w:val="21"/>
        </w:rPr>
        <w:t xml:space="preserve">（提供参加本次采购活动前的最新一期的会计报表（至少包含资产负债表、利润表、现金流量表）或审计报告，其他组织、自然人及成立未满一年的法人应提供银行出具的资信证明）或承诺</w:t>
      </w: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8.3.6.3.履行合同所必需的设备和专业技术能力的证明材料或承诺；</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8.3.6.4.有依法缴纳税收和社会保障资金的良好记录</w:t>
      </w:r>
      <w:r>
        <w:rPr>
          <w:rFonts w:ascii="SimSun" w:hAnsi="SimSun" w:eastAsia="SimSun" w:cs="SimSun"/>
          <w:b/>
          <w:color w:val="000000" w:themeColor="text1"/>
          <w:sz w:val="21"/>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或承诺</w:t>
      </w: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8.3.6.5.参加政府采购活动前三年内在经营活动中没有重大违法记录的书面声明函；</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8.3.7.</w:t>
      </w:r>
      <w:r>
        <w:rPr>
          <w:rFonts w:ascii="SimSun" w:hAnsi="SimSun" w:eastAsia="SimSun" w:cs="SimSun"/>
          <w:b/>
          <w:color w:val="000000" w:themeColor="text1"/>
          <w:sz w:val="21"/>
        </w:rPr>
        <w:t xml:space="preserve">《中小企业声明函》或《残疾人福利性单位声明函》或由省级以上监狱管理局、戒毒管理局（含新疆生产建设兵团）出具的属于监狱企业的证明文件；</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8.3.8.其它有关资格证明的文件；</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8.4.</w:t>
      </w:r>
      <w:r>
        <w:rPr>
          <w:rFonts w:ascii="SimSun" w:hAnsi="SimSun" w:eastAsia="SimSun" w:cs="SimSun"/>
          <w:color w:val="000000" w:themeColor="text1"/>
          <w:sz w:val="21"/>
        </w:rPr>
        <w:t xml:space="preserve">★</w:t>
      </w:r>
      <w:r>
        <w:rPr>
          <w:rFonts w:ascii="SimSun" w:hAnsi="SimSun" w:eastAsia="SimSun" w:cs="SimSun"/>
          <w:b/>
          <w:color w:val="000000" w:themeColor="text1"/>
          <w:sz w:val="21"/>
        </w:rPr>
        <w:t xml:space="preserve">符合性审查响应文件</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8.4.1.磋商响应函（格式见第三章）；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8.4.2.磋商报价分析表（格式见第三章）；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8.4.3.偏离表（格式见第三章）；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8.4.4.项目服务人员配置表、设备配备一览表（格式见第三章）；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8.4.5.投标（响应）保证承诺书；</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8.4.6.安全承诺责任书、响应服务承诺函；</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8.4.7.其他有关符合性证明的文件。</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8.5.综合评审响应文件</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8.5.1.针对本项目提供的服务实施方案；</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8.5.2.与本次采购相关的其他证明材料；</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8.6.价格折扣响应文件</w:t>
      </w:r>
      <w:r>
        <w:rPr>
          <w:rFonts w:ascii="SimSun" w:hAnsi="SimSun" w:eastAsia="SimSun" w:cs="SimSun"/>
          <w:color w:val="000000" w:themeColor="text1"/>
          <w:sz w:val="21"/>
        </w:rPr>
        <w:t xml:space="preserve">（提供《中小企业声明函》或《残疾人福利性单位声明函》或由省级以上监狱管理局、戒毒管理局（含新疆生产建设兵团）出具的属于监狱企业的证明文件；本项目专门面向中小企业采购，不再执行价格评审优惠的扶持政策）；</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8.7.对属于《节能产品政府采购品目清单》政府强制采购产品的，需提供该产品有效期内的认证等相关证明材料（如有）。</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注：（1）以上8.3.1-8.3.8为资格审查要求提供的材料，是作为对供应商资格审查、质疑身份认定的依据，响应供应商必须提供并加盖电子公章。否则，磋商响应文件将被认定为不符合资格审查要求。</w:t>
      </w:r>
      <w:r>
        <w:rPr>
          <w:color w:val="000000" w:themeColor="text1"/>
        </w:rPr>
      </w:r>
      <w:r/>
    </w:p>
    <w:p>
      <w:pPr>
        <w:ind w:left="0" w:right="0" w:firstLine="8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（2）以上8.4.1-8.4.7为符合性审查须提供的资料，响应供应商必须提供并加盖电子公章。否则，磋商响应文件将被认定为未实质性响应。</w:t>
      </w:r>
      <w:r>
        <w:rPr>
          <w:color w:val="000000" w:themeColor="text1"/>
        </w:rPr>
      </w:r>
      <w:r/>
    </w:p>
    <w:p>
      <w:pPr>
        <w:ind w:left="0" w:right="0" w:firstLine="8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（3）制作电子响应文件时必须与响应文件制作软件目录一一对应，将相关资料上传至相应模块。</w:t>
      </w:r>
      <w:r>
        <w:rPr>
          <w:color w:val="000000" w:themeColor="text1"/>
        </w:rPr>
      </w:r>
      <w:r/>
    </w:p>
    <w:p>
      <w:pPr>
        <w:ind w:left="0" w:right="0" w:firstLine="8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（4）磋商响应文件编制要求：</w:t>
      </w:r>
      <w:r>
        <w:rPr>
          <w:rFonts w:ascii="SimSun" w:hAnsi="SimSun" w:eastAsia="SimSun" w:cs="SimSun"/>
          <w:color w:val="000000" w:themeColor="text1"/>
          <w:sz w:val="21"/>
        </w:rPr>
        <w:t xml:space="preserve">本项目采用电子招投标形式，请供应商按照《苏采云系统供应商操作手册》进行制作、上传电子响应文件。</w:t>
      </w:r>
      <w:r>
        <w:rPr>
          <w:rFonts w:ascii="SimSun" w:hAnsi="SimSun" w:eastAsia="SimSun" w:cs="SimSun"/>
          <w:b/>
          <w:color w:val="000000" w:themeColor="text1"/>
          <w:sz w:val="21"/>
        </w:rPr>
        <w:t xml:space="preserve">电子响应文件制作完成后请于响应文件递交截止时间前成功上传至“苏采云”系统，否则视为放弃参加该采购项目。</w:t>
      </w:r>
      <w:r>
        <w:rPr>
          <w:rFonts w:ascii="SimSun" w:hAnsi="SimSun" w:eastAsia="SimSun" w:cs="SimSun"/>
          <w:color w:val="000000" w:themeColor="text1"/>
          <w:sz w:val="21"/>
        </w:rPr>
        <w:t xml:space="preserve">供应商应充分考虑到网络环境、网络带宽等风险因素，如因供应商自身原因造成的电子响应文件上传不成功由供应商自行承担全部责任。</w:t>
      </w:r>
      <w:r>
        <w:rPr>
          <w:color w:val="000000" w:themeColor="text1"/>
        </w:rPr>
      </w:r>
      <w:r/>
    </w:p>
    <w:p>
      <w:pPr>
        <w:ind w:left="0" w:right="0" w:firstLine="843"/>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w:t>
      </w:r>
      <w:r>
        <w:rPr>
          <w:rFonts w:ascii="SimSun" w:hAnsi="SimSun" w:eastAsia="SimSun" w:cs="SimSun"/>
          <w:b/>
          <w:color w:val="000000" w:themeColor="text1"/>
          <w:sz w:val="21"/>
          <w:u w:val="single"/>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9.网上响应文件的制作</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9.1.本项目采用电子招投标形式，请供应商按照《苏采云系统供应商操作手册》（https://czju.suzhou.gov.cn/zfcg/html/content/20231220161910031.shtml）进行制作、上传电子响应文件。</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9.2.本项目采用网上投标电子评标方式，磋商响应单位系统中上传电子响应文件。</w:t>
      </w:r>
      <w:r>
        <w:rPr>
          <w:rFonts w:ascii="SimSun" w:hAnsi="SimSun" w:eastAsia="SimSun" w:cs="SimSun"/>
          <w:b/>
          <w:color w:val="000000" w:themeColor="text1"/>
          <w:sz w:val="21"/>
          <w:u w:val="single"/>
        </w:rPr>
        <w:t xml:space="preserve">成交后5个工作日内，成交单位向采购代理机构提供与电子响应文件内容一致的纸质响应文件叁份。</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9.3.电子磋商响应文件必须在响应文件接收截止时间前完成上传操作。</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9.4.全套响应文件应无涂改和行间插字，除非这些删改是根据磋商采购单位指示进行的，或者是供应商造成的必须修改的错误。但修改处应由供应商法定代表人（负责人）或授权代表签字证明。</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9.5.电子响应文件需要盖单位公章的地方必须加盖磋商响应单位电子签章，需要法定代表人（或委托代理人）盖章或签名的文件必须按要求盖章或签名。</w:t>
      </w:r>
      <w:r>
        <w:rPr>
          <w:color w:val="000000" w:themeColor="text1"/>
        </w:rPr>
      </w:r>
      <w:r/>
    </w:p>
    <w:p>
      <w:pPr>
        <w:ind w:left="0" w:right="0" w:firstLine="422"/>
        <w:jc w:val="both"/>
        <w:spacing w:before="12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9.6.网上响应文件附件如无法加盖电子签章，请上传清晰的盖有公章的扫描件。</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9.7.一经磋商，除非供应商在响应文件中对采购文件的规定或条款有书面偏离或保留，否则应视为其全部接受和遵守。同时无论供应商是否成交，其响应文件恕不退还。</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10.报价（编制）要求的说明</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10.1.磋商报价应包括完成该标的物全部内容的一切费用。</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10.2.响应人应按《磋商报价分析表》中的全部项目计算单价和总价。《磋商报价分析表》中的每一单项均应计算并填写单价和总价，并由法定代表人或代理人签署。</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10.3.响应人应对磋商文件内所要采购的全部内容进行报价，只投其中部分内容者，其响应文件将被拒绝。</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10.4.一项响应内容只允许一个报价，采购代理机构不接受任何有选择性的响应报价。</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10.5.响应文件报价中的单价和总价全部采用人民币表示，除非合同的特殊条款另有规定。</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11.★磋商有效期</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11.1.磋商响应文件的有效期为90日历天，在此期间内，响应文件应保持有效。有效期短于这个规定期限的，将被拒绝。</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11.2.特殊情况下，磋商采购单位可与磋商供应商协商延缓磋商响应磋商文件的有效期，这种要求和答复均以书面形式进行。</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11.3.磋商响应方可拒绝接受延期要求而放弃磋商，同意延长有效期的磋商响应方不能修改磋商响应文件。</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12.磋商响应截止时间</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12.1.响应文件必须在磋商截止时间前提交。截止时间以后送达的响应文件，采购人或采购代理机构将拒绝接收。</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12.2.采购人或者采购代理机构推迟磋商截止时间时，应以更正公告的形式，通知所有响应单位。</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13.磋商响应文件修改和撤回</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13.1.磋商响应文件的修改应在响应文件接收截止时间前进行。</w:t>
      </w:r>
      <w:r>
        <w:rPr>
          <w:color w:val="000000" w:themeColor="text1"/>
        </w:rPr>
      </w:r>
      <w:r/>
    </w:p>
    <w:p>
      <w:pPr>
        <w:ind w:left="0" w:right="0" w:firstLine="420"/>
        <w:jc w:val="both"/>
        <w:spacing w:before="78" w:after="78"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13.2.磋商开始时间后至磋商截止时间前，相应单位可以撤回响应。</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13.3.磋商截止时间后供应商不得撤回响应。否则按投标（响应）保证承诺书中承诺履行违约赔偿。</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14.递交磋商响应文件相关事项</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15.磋商评审程序</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15.1.磋商仪式</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15.1.1.采购代理机构将在竞争性磋商公告中规定的时间和地点组织磋商。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15.1.2.磋商仪式由采购代理机构主持。</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15.1.3.采购人依法对供应商的资格进行审查。</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15.1.4.磋商代理人对供应商进行信用查询。</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15.2.磋商小组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15.2.1.磋商仪式结束后，采购代理机构将立即组织磋商小组进行磋商。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15.2.3.磋商小组负责具体的磋商事务，并独立履行以下职责：</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（1）确认或者制定磋商文件； </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（2）从符合相应资格条件的供应商名单中确定供应商参加磋商；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（3）审查供应商的响应文件并做出评价；</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（4）要求供应商解释或者澄清其响应文件；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（5）编写评审报告；</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（6）告知采购人、采购代理机构在评审过程中发现的供应商的违法违规行为。</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15.2.4.磋商小组成员应当履行下列义务：</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（1）遵纪守法，客观、公正、廉洁地履行职责；</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（2）按照磋商文件规定的评审办法独立进行评审，对个人的评审意见承担法律责任；</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（3）参与评审报告的起草；</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（4）配合采购人、采购代理机构答复供应商提出的质疑；</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（5）配合财政部门的投诉处理和监督检查工作。</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15.3.磋商工作纪律及保密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15.3.1.磋商开始后，直到宣布授予成交供应商合同为止，凡属于审查、澄清、评价和比较响应文件的所有资料，有关授予合同的信息都不应向供应商或与评审无关的其他人泄露。</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15.3.2.评审专家应当遵守评审工作纪律，不得泄露评审情况和评审中获悉的商业秘密。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15.3.3.在评审期间，磋商采购单位将通过指定联络人与供应商进行联系。</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15.4.响应文件审查</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15.4.1.磋商小组应当对符合资格的响应人的响应文件进行符合性审查，以确定其是否满足磋商文件的实质性要求。</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15.5.供应商澄清</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磋商小组要求供应商澄清、说明或者更正响应文件将以书面形式作出。供应商的澄清、说明或者更正应当由其单位加盖电子公章。</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15.6.</w:t>
      </w:r>
      <w:r>
        <w:rPr>
          <w:rFonts w:ascii="SimSun" w:hAnsi="SimSun" w:eastAsia="SimSun" w:cs="SimSun"/>
          <w:b/>
          <w:color w:val="000000" w:themeColor="text1"/>
          <w:sz w:val="21"/>
          <w:u w:val="single"/>
        </w:rPr>
        <w:t xml:space="preserve">磋商程序、最后报价</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15.6.1.采购代理机构按采购文件规定的时间、地点主持磋商采购活动。</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15.6.2.供应商通过“苏采云”系统在线参与磋商活动。供应商应当按照《苏采云系统供应商操作手册》规定在 “苏采云”系统规定的时间内对响应文件进行解密。</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15.6.3.在磋商响应文件网上递交截止时间止成功解密的磋商供应商少于三家，则本次采购失败。</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15.6.4.由磋商小组审查供应商解密的响应文件。</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15.6.6.磋商小组要求供应商澄清、说明或者更正响应文件应当以书面形式做出。供应商的澄清、说明或者更正应当由其单位加盖电子公章。</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15.6.7.对于通过资格审查和符合性审查的供应商，磋商小组所有成员集中与单一供应商分别进行磋商，并给予所有参加磋商的供应商平等的磋商机会。</w:t>
      </w:r>
      <w:r>
        <w:rPr>
          <w:rFonts w:ascii="SimSun" w:hAnsi="SimSun" w:eastAsia="SimSun" w:cs="SimSun"/>
          <w:b/>
          <w:color w:val="000000" w:themeColor="text1"/>
          <w:sz w:val="21"/>
        </w:rPr>
        <w:t xml:space="preserve">磋商小组通过“苏采云”系统向供应商发布“磋商函”，供应商应当按照要求在“苏采云”系统提交“磋商响应函”并加盖CA电子公章。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15.6.9.</w:t>
      </w:r>
      <w:r>
        <w:rPr>
          <w:rFonts w:ascii="SimSun" w:hAnsi="SimSun" w:eastAsia="SimSun" w:cs="SimSun"/>
          <w:b/>
          <w:color w:val="000000" w:themeColor="text1"/>
          <w:sz w:val="21"/>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15.6.10.</w:t>
      </w:r>
      <w:r>
        <w:rPr>
          <w:rFonts w:ascii="SimSun" w:hAnsi="SimSun" w:eastAsia="SimSun" w:cs="SimSun"/>
          <w:b/>
          <w:color w:val="000000" w:themeColor="text1"/>
          <w:sz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已提交响应文件的供应商，在提交最后报价之前，可以根据磋商情况退出磋商，并在“苏采云”系统中提交“退出磋商函”并加盖CA电子公章。</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特别提醒：进入项目评审流程后，建议各供应商法定代表人或授权委托人始终保持通讯顺畅，时刻关注不见面开标大厅，不离开不见面开标大厅。</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15.6.11.经磋商确定最终采购需求和提交最后报价的供应商后，由磋商小组采用综合评分法对提交最后报价的供应商的响应文件和最后报价进行综合评分。</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15.6.12.磋商小组根据磋商成交原则确定成交供应商，并将结果通知所有参加磋商的供应商。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15.6.13.如磋商过程中出现本采购文件未尽事宜，由磋商小组根据政府采购有关法律、法规讨论决定。</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15.7.响应无效和终止磋商活动条款</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15.7.1.响应人存在下列情况之一的，响应无效:</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（1）未按照竞争性磋商文件规定要求签署、盖章的；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（2）供应商不具备竞争性磋商文件中规定资格条件的；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（3）报价超过磋商文件中规定的预算金额或者最高限价的；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（4）响应文件含有采购人不能接受的附加条件；</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（5）因磋商响应单位自身原因导致网上磋商响应文件无法递交的其他情况；</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（6）不符合法律、法规和竞争性磋商文件中规定的其他实质性要求的；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（7）法律、法规及本竞争性磋商文件规定的其他无效的情形。</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15.7.2.响应人应当遵循公平竞争的原则，不得恶意串通，不得妨碍其他响应人的竞争行为，不得损害采购人或者其他响应人的合法权益。</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磋商在过程中发现响应人有下述15.7.3.所列情形的，磋商小组应当认定其响应无效，并书面报告本级财政部门。</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15.7.3.有下列情形之一的，视为响应人恶意串通，其响应无效：</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（1）不同响应人的响应文件由同一单位或者个人编制；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（2）不同响应人委托同一单位或者个人办理磋商事宜；</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（3）不同响应人的响应文件载明的项目管理成员或者联系人员为同一人；</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（4）不同响应人的响应文件异常一致或者报价呈规律性差异；</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（5）不同响应人的响应文件相互混装；</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（6）不同投标（响应）文件制作机器码一致，均为无效投标。</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15.7.4.终止竞争性磋商采购活动的条款</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出现下列情形之一的，采购代理机构将终止竞争性磋商采购活动，发布项目终止公告并说明原因，重新开展采购活动：</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（1）因情况变化，不再符合规定的竞争性磋商采购方式适用情形的；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（2）出现影响采购公正的违法、违规行为的；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（3）在采购活动中因重大变故，采购任务取消的；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16.确定成交、询问及质疑</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16.1.确定成交供应商</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16.1.1.采购人授权磋商小组直接确定成交供应商。</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16.1.2.采购代理机构在成交供应商确定后2个工作日内在“苏州市政府采购网”公告成交结果，并同时书面通知成交供应商。成交通知书将成为合同的组成部分。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16.2.询问及质疑</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16.2.1.询问及质疑依据《中华人民共和国政府采购法》、《中华人民共和国政府采购法实施条例》、《政府采购质疑和投诉办法》及相关法律法规处理。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16.2.2.供应商提交的质疑函必须按照《政府采购供应商质疑函范本》要求的格式和内容进行填写，质疑函范本下载网址详见链接：https://czju.suzhou.gov.cn/zfcg/html/content/20180305093615738.shtml。</w:t>
      </w:r>
      <w:r>
        <w:rPr>
          <w:color w:val="000000" w:themeColor="text1"/>
        </w:rPr>
      </w: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16.2.3.供应商应在法定质疑期内一次性提出针对同一采购程序环节的质疑。质疑函（必须附《投标供应商确认函》）现场提交或邮寄至本公司</w:t>
      </w:r>
      <w:r>
        <w:rPr>
          <w:rFonts w:ascii="SimSun" w:hAnsi="SimSun" w:eastAsia="SimSun" w:cs="SimSun"/>
          <w:b/>
          <w:color w:val="000000" w:themeColor="text1"/>
          <w:sz w:val="21"/>
        </w:rPr>
        <w:t xml:space="preserve">（不接收到付快递）</w:t>
      </w:r>
      <w:r>
        <w:rPr>
          <w:rFonts w:ascii="SimSun" w:hAnsi="SimSun" w:eastAsia="SimSun" w:cs="SimSun"/>
          <w:color w:val="000000" w:themeColor="text1"/>
          <w:sz w:val="21"/>
        </w:rPr>
        <w:t xml:space="preserve">。</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16.2.4.质疑联系方式</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采购代理机构：苏州汇顺项目管理咨询有限公司</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地址：苏州市高新区鹿山路369号39幢318室    </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邮编：215200</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电话：18051741285   </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联系人：周蕴希、谢东宏</w:t>
      </w:r>
      <w:r>
        <w:rPr>
          <w:color w:val="000000" w:themeColor="text1"/>
        </w:rPr>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17.合同的签订</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17.1.成交供应商应按成交通知书中规定的时间和地点，与采购人签订合同。</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17.2.签订合同及合同条款应以磋商文件和成交供应商的磋商响应文件及其澄清承诺文件为依据。</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18.</w:t>
      </w:r>
      <w:r>
        <w:rPr>
          <w:rFonts w:ascii="SimSun" w:hAnsi="SimSun" w:eastAsia="SimSun" w:cs="SimSun"/>
          <w:b/>
          <w:color w:val="000000" w:themeColor="text1"/>
          <w:sz w:val="24"/>
        </w:rPr>
        <w:t xml:space="preserve">★</w:t>
      </w:r>
      <w:r>
        <w:rPr>
          <w:rFonts w:ascii="SimSun" w:hAnsi="SimSun" w:eastAsia="SimSun" w:cs="SimSun"/>
          <w:b/>
          <w:color w:val="000000" w:themeColor="text1"/>
          <w:sz w:val="21"/>
        </w:rPr>
        <w:t xml:space="preserve">磋商保证金：无，响应文件中须提供投标（响应）保证承诺书，否则为无效投标。</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19.代理服务费：</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19.1.收费标准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说明：代理服务费以预算金额为基数依据，参照以上规定的标准和差额定率累进法进行计算后收取。由成交单位在领取成交通知书时付清。</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本项目代理服务费为人民币壹万伍仟伍佰伍拾元整（¥：15550.00）。</w:t>
      </w:r>
      <w:r>
        <w:rPr>
          <w:color w:val="000000" w:themeColor="text1"/>
        </w:rPr>
      </w: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供应商缴纳代理服务费时，如需增值税专用发票的，则须提供有关信息资料。</w:t>
      </w:r>
      <w:r>
        <w:rPr>
          <w:color w:val="000000" w:themeColor="text1"/>
        </w:rPr>
      </w: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19.2.缴纳账户：</w:t>
      </w:r>
      <w:r>
        <w:rPr>
          <w:color w:val="000000" w:themeColor="text1"/>
        </w:rPr>
      </w:r>
      <w:r/>
    </w:p>
    <w:p>
      <w:pPr>
        <w:ind w:left="-2"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账户：苏州汇顺项目管理咨询有限公司</w:t>
      </w:r>
      <w:r>
        <w:rPr>
          <w:color w:val="000000" w:themeColor="text1"/>
        </w:rPr>
      </w:r>
      <w:r/>
    </w:p>
    <w:p>
      <w:pPr>
        <w:ind w:left="-2"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开户行：中国建设银行股份有限公司苏州长春路支行</w:t>
      </w:r>
      <w:r>
        <w:rPr>
          <w:color w:val="000000" w:themeColor="text1"/>
        </w:rPr>
      </w:r>
      <w:r/>
    </w:p>
    <w:p>
      <w:pPr>
        <w:ind w:left="-2"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账号：32250199757200000291</w:t>
      </w:r>
      <w:r>
        <w:rPr>
          <w:color w:val="000000" w:themeColor="text1"/>
        </w:rPr>
      </w:r>
      <w:r/>
    </w:p>
    <w:p>
      <w:pPr>
        <w:ind w:left="0" w:right="0" w:firstLine="422"/>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20.未尽事宜：</w:t>
      </w:r>
      <w:r>
        <w:rPr>
          <w:rFonts w:ascii="SimSun" w:hAnsi="SimSun" w:eastAsia="SimSun" w:cs="SimSun"/>
          <w:color w:val="000000" w:themeColor="text1"/>
          <w:sz w:val="21"/>
        </w:rPr>
        <w:t xml:space="preserve">按《中华人民共和国政府采购法》及其他有关的法律法规的规定执行。</w:t>
      </w:r>
      <w:r>
        <w:rPr>
          <w:color w:val="000000" w:themeColor="text1"/>
        </w:rPr>
      </w:r>
      <w:r/>
    </w:p>
    <w:p>
      <w:pPr>
        <w:ind w:left="-2"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21.备注：本文件打“★”为实质性条款。</w:t>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44"/>
          <w:u w:val="none"/>
        </w:rPr>
        <w:t xml:space="preserve"> </w:t>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44"/>
          <w:highlight w:val="none"/>
        </w:rPr>
      </w:r>
      <w:r>
        <w:rPr>
          <w:rFonts w:ascii="Times New Roman" w:hAnsi="Times New Roman" w:eastAsia="Times New Roman" w:cs="Times New Roman"/>
          <w:b/>
          <w:color w:val="000000" w:themeColor="text1"/>
          <w:sz w:val="44"/>
          <w:highlight w:val="none"/>
        </w:rPr>
      </w:r>
    </w:p>
    <w:p>
      <w:pPr>
        <w:ind w:left="0" w:right="0" w:firstLine="0"/>
        <w:jc w:val="center"/>
        <w:spacing w:before="0" w:after="312" w:line="480" w:lineRule="atLeast"/>
        <w:tabs>
          <w:tab w:val="left" w:pos="315" w:leader="none"/>
          <w:tab w:val="left" w:pos="720" w:leader="none"/>
          <w:tab w:val="left" w:pos="4153" w:leader="none"/>
        </w:tabs>
        <w:rPr>
          <w:rFonts w:ascii="Times New Roman" w:hAnsi="Times New Roman" w:eastAsia="Times New Roman" w:cs="Times New Roma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44"/>
          <w:highlight w:val="none"/>
        </w:rPr>
      </w:r>
      <w:r>
        <w:rPr>
          <w:rFonts w:ascii="Times New Roman" w:hAnsi="Times New Roman" w:eastAsia="Times New Roman" w:cs="Times New Roman"/>
          <w:b/>
          <w:color w:val="000000" w:themeColor="text1"/>
          <w:sz w:val="44"/>
          <w:highlight w:val="none"/>
        </w:rPr>
      </w:r>
    </w:p>
    <w:p>
      <w:pPr>
        <w:ind w:left="0" w:right="0" w:firstLine="0"/>
        <w:jc w:val="center"/>
        <w:spacing w:before="0" w:after="312" w:line="480" w:lineRule="atLeast"/>
        <w:tabs>
          <w:tab w:val="left" w:pos="315" w:leader="none"/>
          <w:tab w:val="left" w:pos="720" w:leader="none"/>
          <w:tab w:val="left" w:pos="4153" w:leader="none"/>
        </w:tabs>
        <w:rPr>
          <w:rFonts w:ascii="Times New Roman" w:hAnsi="Times New Roman" w:eastAsia="Times New Roman" w:cs="Times New Roma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44"/>
        </w:rPr>
        <w:t xml:space="preserve"> </w:t>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第三章</w:t>
      </w:r>
      <w:r>
        <w:rPr>
          <w:rFonts w:ascii="Times New Roman" w:hAnsi="Times New Roman" w:eastAsia="Times New Roman" w:cs="Times New Roman"/>
          <w:b/>
          <w:color w:val="000000" w:themeColor="text1"/>
          <w:sz w:val="44"/>
        </w:rPr>
        <w:t xml:space="preserve"> </w:t>
      </w:r>
      <w:r>
        <w:rPr>
          <w:rFonts w:ascii="SimSun" w:hAnsi="SimSun" w:eastAsia="SimSun" w:cs="SimSun"/>
          <w:b/>
          <w:color w:val="000000" w:themeColor="text1"/>
          <w:sz w:val="44"/>
        </w:rPr>
        <w:t xml:space="preserve">响应文件格式</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说明：</w:t>
      </w:r>
      <w:r>
        <w:rPr>
          <w:color w:val="000000" w:themeColor="text1"/>
        </w:rPr>
      </w:r>
      <w:r/>
    </w:p>
    <w:p>
      <w:pPr>
        <w:ind w:left="0" w:right="0" w:firstLine="46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对本章所有的响应文件格式 ，响应人可根据自身情况进行补充和修改，但补充和修改不得造成与本格式内容有实质性的违背。</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格式1：法定代表人授权委托书</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法定代表人授权委托书</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本授权委托书声明：我</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（姓名）系</w:t>
      </w:r>
      <w:r>
        <w:rPr>
          <w:rFonts w:ascii="SimSun" w:hAnsi="SimSun" w:eastAsia="SimSun" w:cs="SimSun"/>
          <w:color w:val="000000" w:themeColor="text1"/>
          <w:sz w:val="21"/>
          <w:u w:val="single"/>
        </w:rPr>
        <w:t xml:space="preserve">     （供应商名称）</w:t>
      </w:r>
      <w:r>
        <w:rPr>
          <w:rFonts w:ascii="SimSun" w:hAnsi="SimSun" w:eastAsia="SimSun" w:cs="SimSun"/>
          <w:b/>
          <w:i/>
          <w:color w:val="000000" w:themeColor="text1"/>
          <w:sz w:val="21"/>
          <w:u w:val="single"/>
        </w:rPr>
        <w:t xml:space="preserve">  </w:t>
      </w:r>
      <w:r>
        <w:rPr>
          <w:rFonts w:ascii="SimSun" w:hAnsi="SimSun" w:eastAsia="SimSun" w:cs="SimSun"/>
          <w:color w:val="000000" w:themeColor="text1"/>
          <w:sz w:val="21"/>
        </w:rPr>
        <w:t xml:space="preserve">的法定代表人（负责人），现授权委托</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（姓名）为我公司授权代表（即代理人），以本公司的名义参加</w:t>
      </w:r>
      <w:r>
        <w:rPr>
          <w:rFonts w:ascii="SimSun" w:hAnsi="SimSun" w:eastAsia="SimSun" w:cs="SimSun"/>
          <w:color w:val="000000" w:themeColor="text1"/>
          <w:sz w:val="21"/>
          <w:u w:val="single"/>
        </w:rPr>
        <w:t xml:space="preserve"> 苏州汇顺项目管理咨询有限公司 </w:t>
      </w:r>
      <w:r>
        <w:rPr>
          <w:rFonts w:ascii="SimSun" w:hAnsi="SimSun" w:eastAsia="SimSun" w:cs="SimSun"/>
          <w:color w:val="000000" w:themeColor="text1"/>
          <w:sz w:val="21"/>
        </w:rPr>
        <w:t xml:space="preserve">组织实施的编号为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号的磋商活动。授权代表在磋商活动过程中所签署的一切文件和处理与这有关的一切事务，我均予以承认。</w:t>
      </w:r>
      <w:r>
        <w:rPr>
          <w:color w:val="000000" w:themeColor="text1"/>
        </w:rPr>
      </w:r>
      <w:r/>
    </w:p>
    <w:p>
      <w:pPr>
        <w:ind w:left="0" w:right="0" w:firstLine="42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授权代表在授权委托书有效期内签署的所有文件不因授权委托的撤销而失效，除非有撤销授权委托的书面通知，本授权委托书自磋商活动开始至合同履行完毕止。</w:t>
      </w:r>
      <w:r>
        <w:rPr>
          <w:color w:val="000000" w:themeColor="text1"/>
        </w:rPr>
      </w:r>
      <w:r/>
    </w:p>
    <w:p>
      <w:pPr>
        <w:ind w:left="0" w:right="0" w:firstLine="42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授权代表无转委托权。特此委托。</w:t>
      </w:r>
      <w:r>
        <w:rPr>
          <w:color w:val="000000" w:themeColor="text1"/>
        </w:rPr>
      </w:r>
      <w:r/>
    </w:p>
    <w:p>
      <w:pPr>
        <w:ind w:left="0" w:right="0" w:firstLine="84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供应商：（公章）</w:t>
      </w:r>
      <w:r>
        <w:rPr>
          <w:color w:val="000000" w:themeColor="text1"/>
        </w:rPr>
      </w:r>
      <w:r/>
    </w:p>
    <w:p>
      <w:pPr>
        <w:ind w:left="0" w:right="0" w:firstLine="42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法定代表人（负责人）：（签字或盖章）</w:t>
      </w:r>
      <w:r>
        <w:rPr>
          <w:color w:val="000000" w:themeColor="text1"/>
        </w:rPr>
      </w:r>
      <w:r/>
    </w:p>
    <w:p>
      <w:pPr>
        <w:ind w:left="0" w:right="0" w:firstLine="42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代理人：（签字或盖章）</w:t>
      </w:r>
      <w:r>
        <w:rPr>
          <w:color w:val="000000" w:themeColor="text1"/>
        </w:rPr>
      </w:r>
      <w:r/>
    </w:p>
    <w:p>
      <w:pPr>
        <w:ind w:left="0" w:right="0" w:firstLine="42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　　月　　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3409"/>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格式2：磋商响应</w:t>
      </w:r>
      <w:r>
        <w:rPr>
          <w:rFonts w:ascii="SimSun" w:hAnsi="SimSun" w:eastAsia="SimSun" w:cs="SimSun"/>
          <w:b/>
          <w:color w:val="000000" w:themeColor="text1"/>
          <w:sz w:val="21"/>
        </w:rPr>
        <w:t xml:space="preserve">函</w:t>
      </w:r>
      <w:r>
        <w:rPr>
          <w:color w:val="000000" w:themeColor="text1"/>
        </w:rPr>
      </w:r>
      <w:r/>
    </w:p>
    <w:p>
      <w:pPr>
        <w:contextualSpacing w:val="0"/>
        <w:ind w:left="0" w:right="0" w:firstLine="0"/>
        <w:jc w:val="left"/>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磋商响应函</w:t>
      </w:r>
      <w:r>
        <w:rPr>
          <w:color w:val="000000" w:themeColor="text1"/>
        </w:rPr>
      </w:r>
      <w:r/>
    </w:p>
    <w:p>
      <w:pPr>
        <w:contextualSpacing w:val="0"/>
        <w:ind w:left="0" w:right="0" w:firstLine="0"/>
        <w:jc w:val="left"/>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t xml:space="preserve">苏州汇顺项目管理咨询有限公司、苏州高新区（虎丘区）通安镇人民政府： </w:t>
      </w:r>
      <w:r>
        <w:rPr>
          <w:color w:val="000000" w:themeColor="text1"/>
        </w:rPr>
      </w:r>
      <w:r/>
    </w:p>
    <w:p>
      <w:pPr>
        <w:contextualSpacing w:val="0"/>
        <w:ind w:left="0" w:right="0" w:firstLine="0"/>
        <w:jc w:val="left"/>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p>
      <w:pPr>
        <w:contextualSpacing w:val="0"/>
        <w:ind w:left="0" w:right="0" w:firstLine="420"/>
        <w:jc w:val="left"/>
        <w:spacing w:before="240" w:after="240" w:line="360" w:lineRule="auto"/>
        <w:tabs>
          <w:tab w:val="left" w:pos="3780" w:leader="none"/>
        </w:tabs>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我们收到贵方</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号磋商文件，经仔细阅读和研究，我们决定参加磋商活动。</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1.我们愿意按照磋商采购文件的一切要求，提供满足本次采购的</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服务内容，我公司的响应报价包括完成该项服务全部内容所需要的一切费用。</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2.如果我们的磋商响应文件被接受，我们将严格履行磋商文件中规定的每一项要求，按期、按质、按量履行合同的义务。</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3.我们已详细阅读全部磋商文件，包括更正公告(如有)，对磋商文件及更正公告(如有)无任何异议。</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4.我们同意按磋商文件中的规定，本响应文件的有效期限自提交响应文件截止时间之日起</w:t>
      </w:r>
      <w:r>
        <w:rPr>
          <w:rFonts w:ascii="SimSun" w:hAnsi="SimSun" w:eastAsia="SimSun" w:cs="SimSun"/>
          <w:color w:val="000000" w:themeColor="text1"/>
          <w:sz w:val="21"/>
          <w:u w:val="single"/>
        </w:rPr>
        <w:t xml:space="preserve"> 90 </w:t>
      </w:r>
      <w:r>
        <w:rPr>
          <w:rFonts w:ascii="SimSun" w:hAnsi="SimSun" w:eastAsia="SimSun" w:cs="SimSun"/>
          <w:color w:val="000000" w:themeColor="text1"/>
          <w:sz w:val="21"/>
        </w:rPr>
        <w:t xml:space="preserve">天。</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5.我们愿意提供采购单位在磋商文件中要求的相关资料。</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6.我们愿意遵守磋商文件中所列的收费标准。</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7.我们承诺该响应文件在磋商开始后的全过程中保持有效，不作任何更改和变动。</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8.我们承诺我公司符合磋商文件供应商须知中“合格供应商的基本、特定条件”的要求，若与真实情况不符，本公司愿意承担由此而产生的一切后果。</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所有有关磋商文件的函电，请按下列地址联系：</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供应商名称（公章）：               联系人：</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法定代表人或被授权人：（签字或盖章）</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地址：                            邮政编码：</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联系电话：                        传真：</w:t>
      </w:r>
      <w:r>
        <w:rPr>
          <w:color w:val="000000" w:themeColor="text1"/>
        </w:rPr>
      </w:r>
      <w:r/>
    </w:p>
    <w:p>
      <w:pPr>
        <w:contextualSpacing w:val="0"/>
        <w:ind w:left="0" w:right="0" w:firstLine="420"/>
        <w:jc w:val="left"/>
        <w:spacing w:before="240" w:after="24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电子邮箱：</w:t>
      </w:r>
      <w:r>
        <w:rPr>
          <w:color w:val="000000" w:themeColor="text1"/>
        </w:rPr>
        <w:br w:type="page" w:clear="all"/>
      </w:r>
      <w:r>
        <w:rPr>
          <w:color w:val="000000" w:themeColor="text1"/>
          <w:sz w:val="24"/>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格式3：</w:t>
      </w:r>
      <w:r>
        <w:rPr>
          <w:rFonts w:ascii="SimSun" w:hAnsi="SimSun" w:eastAsia="SimSun" w:cs="SimSun"/>
          <w:b/>
          <w:color w:val="000000" w:themeColor="text1"/>
          <w:sz w:val="21"/>
        </w:rPr>
        <w:t xml:space="preserve">开标一览表（磋商报价表）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240" w:after="15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开标一览表（磋商报价表）</w:t>
      </w:r>
      <w:r>
        <w:rPr>
          <w:color w:val="000000" w:themeColor="text1"/>
        </w:rPr>
      </w:r>
      <w:r/>
    </w:p>
    <w:p>
      <w:pPr>
        <w:ind w:left="0" w:right="0" w:firstLine="0"/>
        <w:spacing w:before="240" w:after="15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供应商名称（加盖公章）：</w:t>
      </w:r>
      <w:r>
        <w:rPr>
          <w:color w:val="000000" w:themeColor="text1"/>
        </w:rPr>
      </w:r>
      <w:r/>
    </w:p>
    <w:p>
      <w:pPr>
        <w:ind w:left="0" w:right="0" w:firstLine="0"/>
        <w:spacing w:before="240" w:after="15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项目编号：JSZC-320505-SZHS-C2026-0005   </w:t>
      </w:r>
      <w:r>
        <w:rPr>
          <w:color w:val="000000" w:themeColor="text1"/>
        </w:rPr>
      </w:r>
      <w:r/>
    </w:p>
    <w:p>
      <w:pPr>
        <w:ind w:left="0" w:right="0" w:firstLine="0"/>
        <w:spacing w:before="240" w:after="15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分包号：采购包1   </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08"/>
        <w:gridCol w:w="4495"/>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top"/>
            <w:textDirection w:val="lrTb"/>
            <w:noWrap w:val="false"/>
          </w:tcPr>
          <w:p>
            <w:pPr>
              <w:ind w:left="0" w:right="0" w:firstLine="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投标总报价</w:t>
            </w:r>
            <w:r>
              <w:rPr>
                <w:color w:val="000000" w:themeColor="text1"/>
              </w:rPr>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小写：</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元人民币</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投标报价大写金额</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金额大写</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填写说明：</w:t>
      </w:r>
      <w:r>
        <w:rPr>
          <w:color w:val="000000" w:themeColor="text1"/>
        </w:rPr>
      </w:r>
      <w:r/>
    </w:p>
    <w:p>
      <w:pPr>
        <w:ind w:left="0" w:right="0" w:firstLine="0"/>
        <w:spacing w:before="240" w:after="15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1.开标一览表（磋商报价表）必须加盖供应商公章（复印件无效）。</w:t>
      </w:r>
      <w:r>
        <w:rPr>
          <w:color w:val="000000" w:themeColor="text1"/>
        </w:rPr>
      </w:r>
      <w:r/>
    </w:p>
    <w:p>
      <w:pPr>
        <w:ind w:left="0" w:right="0" w:firstLine="0"/>
        <w:spacing w:before="240" w:after="15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2.如有分包，供应商响应任何一个包的标的，都需单独填写开标一览表（磋商报价表）。</w:t>
      </w:r>
      <w:r>
        <w:rPr>
          <w:color w:val="000000" w:themeColor="text1"/>
        </w:rPr>
      </w:r>
      <w:r/>
    </w:p>
    <w:p>
      <w:pPr>
        <w:ind w:left="0" w:right="0" w:firstLine="0"/>
        <w:spacing w:before="240" w:after="15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3.开标一览表（磋商报价表）以系统生成格式为准。</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格式4：磋商报价分析表</w:t>
      </w:r>
      <w:r>
        <w:rPr>
          <w:color w:val="000000" w:themeColor="text1"/>
        </w:rPr>
      </w:r>
      <w:r/>
    </w:p>
    <w:p>
      <w:pPr>
        <w:contextualSpacing w:val="0"/>
        <w:ind w:left="0" w:right="0" w:firstLine="0"/>
        <w:jc w:val="center"/>
        <w:spacing w:before="240" w:after="312"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磋商报价分析表</w:t>
      </w:r>
      <w:r>
        <w:rPr>
          <w:color w:val="000000" w:themeColor="text1"/>
        </w:rPr>
      </w:r>
      <w:r/>
    </w:p>
    <w:p>
      <w:pPr>
        <w:contextualSpacing w:val="0"/>
        <w:ind w:left="0" w:right="0" w:firstLine="0"/>
        <w:jc w:val="left"/>
        <w:spacing w:before="240" w:after="240" w:line="24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项目编号：</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2409"/>
        <w:gridCol w:w="992"/>
        <w:gridCol w:w="1276"/>
        <w:gridCol w:w="1417"/>
        <w:gridCol w:w="85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数量</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单价（元）</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小计（元）</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备注</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人工费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劳动保险</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高温费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工作服</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设备和工具使用费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耗材费用</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人身意外伤害保险</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其他</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管理费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利润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税金</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contextualSpacing w:val="0"/>
              <w:ind w:left="0" w:right="0" w:firstLine="0"/>
              <w:jc w:val="left"/>
              <w:spacing w:before="0" w:after="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u w:val="single"/>
              </w:rPr>
            </w:r>
            <w:r>
              <w:rPr>
                <w:color w:val="000000" w:themeColor="text1"/>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15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themeColor="text1"/>
                <w:sz w:val="21"/>
              </w:rPr>
              <w:t xml:space="preserve">合计</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top"/>
            <w:textDirection w:val="lrTb"/>
            <w:noWrap w:val="false"/>
          </w:tcPr>
          <w:p>
            <w:pPr>
              <w:contextualSpacing w:val="0"/>
              <w:ind w:left="0" w:right="0" w:firstLine="0"/>
              <w:jc w:val="left"/>
              <w:spacing w:before="200" w:after="200" w:line="360" w:lineRule="auto"/>
              <w:rPr>
                <w:color w:val="000000" w:themeColor="text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themeColor="text1"/>
                <w:sz w:val="21"/>
              </w:rPr>
              <w:t xml:space="preserve">人民币  大写：             小写：</w:t>
            </w:r>
            <w:r>
              <w:rPr>
                <w:color w:val="000000" w:themeColor="text1"/>
              </w:rPr>
            </w:r>
            <w:r/>
          </w:p>
        </w:tc>
      </w:tr>
    </w:tbl>
    <w:p>
      <w:pPr>
        <w:ind w:left="735" w:right="0" w:hanging="73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w:t>
      </w:r>
      <w:r>
        <w:rPr>
          <w:color w:val="000000" w:themeColor="text1"/>
        </w:rPr>
      </w:r>
      <w:r/>
    </w:p>
    <w:p>
      <w:pPr>
        <w:ind w:left="2"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1.供应商可参照格式自制磋商报价分析表。</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2.“磋商报价分析表”各分项报价合计应当与“开标一览表（磋商报价表）”相等，如不相等，响应总报价以“开标一览表（磋商报价表）”为准。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法定代表人或委托代理人：（签字或盖章）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line="85" w:lineRule="atLeast"/>
        <w:rPr>
          <w:rFonts w:ascii="SimSun" w:hAnsi="SimSun" w:eastAsia="SimSun" w:cs="SimSun"/>
          <w:color w:val="000000" w:themeColor="text1"/>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highlight w:val="none"/>
        </w:rPr>
      </w:r>
      <w:r>
        <w:rPr>
          <w:rFonts w:ascii="SimSun" w:hAnsi="SimSun" w:eastAsia="SimSun" w:cs="SimSun"/>
          <w:b/>
          <w:bCs/>
          <w:color w:val="000000" w:themeColor="text1"/>
          <w:sz w:val="21"/>
          <w:szCs w:val="21"/>
          <w:highlight w:val="none"/>
        </w:rP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格式5：声明函</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声明函</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我公司具备履行本项采购合同所必需的设备和专业技术能力。</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1560" w:firstLine="420"/>
        <w:jc w:val="right"/>
        <w:spacing w:before="0" w:after="0" w:line="579"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单位名称（盖章）：</w:t>
      </w:r>
      <w:r>
        <w:rPr>
          <w:color w:val="000000" w:themeColor="text1"/>
        </w:rPr>
      </w:r>
      <w:r/>
    </w:p>
    <w:p>
      <w:pPr>
        <w:ind w:left="0" w:right="1560" w:firstLine="420"/>
        <w:jc w:val="right"/>
        <w:spacing w:before="0" w:after="0" w:line="579"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日期：年月日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格式6：参加政府采购活动前3年内在经营活动中没有重大违法记录的书面声明</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声    明</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供应商（加盖公章）：</w:t>
      </w:r>
      <w:r>
        <w:rPr>
          <w:color w:val="000000" w:themeColor="text1"/>
        </w:rPr>
      </w:r>
      <w:r/>
    </w:p>
    <w:p>
      <w:pPr>
        <w:ind w:left="0" w:right="0" w:firstLine="44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rFonts w:ascii="SimSun" w:hAnsi="SimSun" w:eastAsia="SimSun" w:cs="SimSun"/>
          <w:color w:val="000000" w:themeColor="text1"/>
          <w:sz w:val="28"/>
        </w:rPr>
        <w:t xml:space="preserve"> </w:t>
      </w:r>
      <w:r>
        <w:rPr>
          <w:rFonts w:ascii="SimSun" w:hAnsi="SimSun" w:eastAsia="SimSun" w:cs="SimSun"/>
          <w:color w:val="000000" w:themeColor="text1"/>
          <w:sz w:val="21"/>
        </w:rPr>
        <w:t xml:space="preserve"> 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格式7：偏离表</w:t>
      </w:r>
      <w:r>
        <w:rPr>
          <w:color w:val="000000" w:themeColor="text1"/>
        </w:rPr>
      </w:r>
      <w:r/>
    </w:p>
    <w:p>
      <w:pPr>
        <w:ind w:left="0" w:right="0" w:firstLine="0"/>
        <w:jc w:val="center"/>
        <w:spacing w:before="156" w:after="468"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1"/>
        </w:rPr>
        <w:t xml:space="preserve">服务条款偏离表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rFonts w:ascii="SimSun" w:hAnsi="SimSun" w:eastAsia="SimSun" w:cs="SimSun"/>
          <w:color w:val="000000" w:themeColor="text1"/>
          <w:sz w:val="21"/>
          <w:u w:val="single"/>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                       </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503"/>
        <w:gridCol w:w="2550"/>
        <w:gridCol w:w="1959"/>
        <w:gridCol w:w="1524"/>
      </w:tblGrid>
      <w:tr>
        <w:trPr>
          <w:trHeight w:val="9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采购文件服务要求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响应情况</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偏离说明</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说明：</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1.服务条款内容主要是针对响应文件有关的服务要求等内容。</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2.无偏离应在本表“响应情况”栏注明“无服务条款偏离”的字样。</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法定代表人或委托代理人：（签字或盖章）</w:t>
      </w:r>
      <w:r>
        <w:rPr>
          <w:color w:val="000000" w:themeColor="text1"/>
        </w:rPr>
      </w:r>
      <w:r/>
    </w:p>
    <w:p>
      <w:pPr>
        <w:ind w:left="0" w:right="0" w:firstLine="0"/>
        <w:spacing w:before="0" w:after="0" w:line="31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156" w:after="468"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156" w:after="468"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1"/>
        </w:rPr>
        <w:t xml:space="preserve">商务条款偏离表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项目名称：项目编号：</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690"/>
        <w:gridCol w:w="2155"/>
        <w:gridCol w:w="2075"/>
        <w:gridCol w:w="1611"/>
      </w:tblGrid>
      <w:tr>
        <w:trPr>
          <w:trHeight w:val="9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采购文件商务要求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响应情况</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说明</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法定代表人或委托代理人：（签字或盖章）</w:t>
      </w:r>
      <w:r>
        <w:rPr>
          <w:color w:val="000000" w:themeColor="text1"/>
        </w:rPr>
      </w:r>
      <w:r/>
    </w:p>
    <w:p>
      <w:pPr>
        <w:ind w:left="0" w:right="0" w:firstLine="0"/>
        <w:spacing w:before="0" w:after="0" w:line="31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说明：</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1.商务条款内容主要是针对采购文件有关的付款条件、服务期、合同主要条款等内容。</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2.无偏离应在本表“响应情况”栏注明“无商务条款偏离”的字样。</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格式8：投入本项目主要设备一览表</w:t>
      </w:r>
      <w:r>
        <w:rPr>
          <w:color w:val="000000" w:themeColor="text1"/>
        </w:rPr>
      </w:r>
      <w:r/>
    </w:p>
    <w:p>
      <w:pPr>
        <w:ind w:left="0" w:right="0" w:firstLine="0"/>
        <w:jc w:val="center"/>
        <w:spacing w:before="0" w:after="156"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投入本项目主要设备一览表</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730"/>
        <w:gridCol w:w="1016"/>
        <w:gridCol w:w="1534"/>
        <w:gridCol w:w="1024"/>
        <w:gridCol w:w="1024"/>
      </w:tblGrid>
      <w:tr>
        <w:trPr>
          <w:trHeight w:val="7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设备名称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品牌型号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自有或租赁</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数量</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供应商：（单位盖章）</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法定代表人或代理人：（签字或盖章）</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格式9：项目服务人员配置表、设备配备一览表</w:t>
      </w:r>
      <w:r>
        <w:rPr>
          <w:color w:val="000000" w:themeColor="text1"/>
        </w:rPr>
      </w:r>
      <w:r/>
    </w:p>
    <w:p>
      <w:pPr>
        <w:ind w:left="0" w:right="0" w:firstLine="0"/>
        <w:jc w:val="center"/>
        <w:spacing w:before="0" w:after="156"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项目服务人员配置表</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6"/>
        <w:gridCol w:w="992"/>
        <w:gridCol w:w="699"/>
        <w:gridCol w:w="706"/>
        <w:gridCol w:w="707"/>
        <w:gridCol w:w="1309"/>
        <w:gridCol w:w="1759"/>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姓名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年龄</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学历</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职称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专业工作年限</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拟在本合同段中担任</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工作内容</w:t>
            </w:r>
            <w:r>
              <w:rPr>
                <w:color w:val="000000" w:themeColor="text1"/>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注：表格不够填写可添加。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法定代表人或委托代理人：（签字或盖章）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设备配备一览表</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1740"/>
        <w:gridCol w:w="1736"/>
        <w:gridCol w:w="859"/>
        <w:gridCol w:w="813"/>
        <w:gridCol w:w="13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型号、规格</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数量</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备注（自有/租赁/新购）</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注：须承诺以上设备为专用设备，仅用于本项目。</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法定代表人或委托代理人：（签字或盖章）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pStyle w:val="745"/>
        <w:ind w:left="0" w:right="0" w:firstLine="0"/>
        <w:jc w:val="both"/>
        <w:spacing w:before="260" w:after="260" w:line="550"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格式10：类似业绩一览表</w:t>
      </w:r>
      <w:r>
        <w:rPr>
          <w:color w:val="000000" w:themeColor="text1"/>
        </w:rPr>
      </w:r>
      <w:r/>
    </w:p>
    <w:p>
      <w:pPr>
        <w:ind w:left="0" w:right="0" w:firstLine="0"/>
        <w:jc w:val="center"/>
        <w:spacing w:before="156" w:after="156"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类似业绩一览表</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1316"/>
        <w:gridCol w:w="1191"/>
        <w:gridCol w:w="1537"/>
        <w:gridCol w:w="2322"/>
        <w:gridCol w:w="1323"/>
      </w:tblGrid>
      <w:tr>
        <w:trPr>
          <w:trHeight w:val="93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2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9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合同期</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合同金额（万元）</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32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服务范围</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rHeight w:val="7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2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1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2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7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2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1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2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7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2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1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2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7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2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1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2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7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2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1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2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7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2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1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2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0"/>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法定代表人或代理人：（签字或盖章）</w:t>
      </w:r>
      <w:r>
        <w:rPr>
          <w:color w:val="000000" w:themeColor="text1"/>
        </w:rPr>
      </w:r>
      <w:r/>
    </w:p>
    <w:p>
      <w:pPr>
        <w:ind w:left="0" w:right="0" w:firstLine="0"/>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156"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类似业绩业主意见反馈表（如有）</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592"/>
      </w:tblGrid>
      <w:tr>
        <w:trPr>
          <w:trHeight w:val="6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3"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业主单位</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3"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业主联系人</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项目合同金额</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项目期限</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合同签署日期</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3"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服务等级评定</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3" w:type="dxa"/>
            <w:vAlign w:val="center"/>
            <w:textDirection w:val="lrTb"/>
            <w:noWrap/>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□很满意       □满意       □一般       □较差</w:t>
            </w:r>
            <w:r>
              <w:rPr>
                <w:color w:val="000000" w:themeColor="text1"/>
              </w:rPr>
            </w:r>
            <w:r/>
          </w:p>
        </w:tc>
      </w:tr>
      <w:tr>
        <w:trPr>
          <w:trHeight w:val="793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3" w:type="dxa"/>
            <w:vAlign w:val="center"/>
            <w:textDirection w:val="lrTb"/>
            <w:noWrap/>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业主单位意见：</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业主单位盖章：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联系人签字：</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      年    月    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注：此表附在相应合同复印件后。</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格式11：针对本项目提供的服务实施方案</w:t>
      </w:r>
      <w:r>
        <w:rPr>
          <w:color w:val="000000" w:themeColor="text1"/>
        </w:rPr>
      </w:r>
      <w:r/>
    </w:p>
    <w:p>
      <w:pPr>
        <w:ind w:left="0" w:right="0" w:firstLine="422"/>
        <w:jc w:val="center"/>
        <w:spacing w:before="0" w:after="0" w:line="34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针对本项目提供的服务实施方案</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提示：</w:t>
            </w:r>
            <w:r>
              <w:rPr>
                <w:color w:val="000000" w:themeColor="text1"/>
              </w:rPr>
            </w:r>
            <w:r/>
          </w:p>
          <w:p>
            <w:pPr>
              <w:ind w:left="360" w:right="0" w:hanging="360"/>
              <w:spacing w:before="0" w:after="0" w:line="439"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1.磋商供应商应针对本项目特点编写成交后拟采取的方案。</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2.磋商供应商可根据自身情况编写，本页不够可另加页附后。</w:t>
            </w:r>
            <w:r>
              <w:rPr>
                <w:color w:val="000000" w:themeColor="text1"/>
              </w:rPr>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供应商名称：（单位盖章）：</w:t>
            </w:r>
            <w:r>
              <w:rPr>
                <w:rFonts w:ascii="SimSun" w:hAnsi="SimSun" w:eastAsia="SimSun" w:cs="SimSun"/>
                <w:color w:val="000000" w:themeColor="text1"/>
                <w:sz w:val="21"/>
                <w:u w:val="single"/>
              </w:rPr>
              <w:t xml:space="preserve">                       </w:t>
            </w:r>
            <w:r>
              <w:rPr>
                <w:color w:val="000000" w:themeColor="text1"/>
              </w:rPr>
            </w:r>
            <w:r/>
          </w:p>
          <w:p>
            <w:pPr>
              <w:ind w:left="0" w:right="0" w:firstLine="1785"/>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 </w:t>
            </w:r>
            <w:r>
              <w:rPr>
                <w:color w:val="000000" w:themeColor="text1"/>
              </w:rPr>
            </w:r>
            <w:r/>
          </w:p>
          <w:p>
            <w:pPr>
              <w:ind w:left="0" w:right="0" w:firstLine="3255"/>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w:t>
            </w:r>
            <w:r>
              <w:rPr>
                <w:color w:val="000000" w:themeColor="text1"/>
              </w:rPr>
            </w:r>
            <w:r/>
          </w:p>
          <w:p>
            <w:pPr>
              <w:ind w:left="0" w:right="0" w:firstLine="210"/>
              <w:jc w:val="both"/>
              <w:spacing w:before="0" w:after="0" w:line="85" w:lineRule="atLeast"/>
              <w:tabs>
                <w:tab w:val="left" w:pos="13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br w:type="page" w:clear="all"/>
      </w:r>
      <w:r>
        <w:rPr>
          <w:color w:val="000000" w:themeColor="text1"/>
          <w:sz w:val="24"/>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格式12：磋商响应单位基本情况表</w:t>
      </w:r>
      <w:r>
        <w:rPr>
          <w:color w:val="000000" w:themeColor="text1"/>
        </w:rPr>
      </w:r>
      <w:r/>
    </w:p>
    <w:p>
      <w:pPr>
        <w:ind w:left="0" w:right="0" w:firstLine="422"/>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磋商响应单位基本情况表</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单位名称（盖章）</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9"/>
        <w:gridCol w:w="1916"/>
        <w:gridCol w:w="1243"/>
        <w:gridCol w:w="30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法定代表人/负责人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成立日期</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企业地址</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注册资本</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万元</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生产范围</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职工人数</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其中：有中高级以上职称的人数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资产总计</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净资产</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6"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万元</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股东权益</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销售收入</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6" w:type="dxa"/>
            <w:vAlign w:val="center"/>
            <w:textDirection w:val="lrTb"/>
            <w:noWrap w:val="false"/>
          </w:tcPr>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年      万元</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实现利润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年    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营业面积</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平方米</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其中：</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6"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自有面积     平方米</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承租面积     平方米</w:t>
            </w:r>
            <w:r>
              <w:rPr>
                <w:color w:val="000000" w:themeColor="text1"/>
              </w:rPr>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单位简历及内设机构情况</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单位优势及特长</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近两年来完成或正在履行的重大合同情况</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最近2年内在经营过程中受到何种奖励或处分</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（包括财政、工商、税务、物价、技监部门稽查情况和结果）</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最近3年内有无因售假、售劣或是其他原因被消费者投诉或起诉的情况及说明</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（包括解决方式和结果）</w:t>
            </w:r>
            <w:r>
              <w:rPr>
                <w:color w:val="000000" w:themeColor="text1"/>
              </w:rPr>
            </w:r>
            <w:r/>
          </w:p>
        </w:tc>
      </w:tr>
      <w:tr>
        <w:trPr>
          <w:trHeight w:val="11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最近3年内主要负责人有无因经济犯罪被司法机关追究的情况及说明</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获得技术认证的工程师及简介</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9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其他需要说明的情况</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5" w:type="dxa"/>
            <w:vAlign w:val="top"/>
            <w:textDirection w:val="lrTb"/>
            <w:noWrap w:val="false"/>
          </w:tcPr>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格式13：关于资格文件的声明函</w:t>
      </w:r>
      <w:r>
        <w:rPr>
          <w:color w:val="000000" w:themeColor="text1"/>
        </w:rPr>
      </w:r>
      <w:r/>
    </w:p>
    <w:p>
      <w:pPr>
        <w:ind w:left="0" w:right="0" w:firstLine="211"/>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关于资格文件的声明函</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苏州汇顺项目管理咨询有限公司、苏州高新区（虎丘区）通安镇人民政府</w:t>
      </w:r>
      <w:r>
        <w:rPr>
          <w:rFonts w:ascii="SimSun" w:hAnsi="SimSun" w:eastAsia="SimSun" w:cs="SimSun"/>
          <w:color w:val="000000" w:themeColor="text1"/>
          <w:sz w:val="21"/>
        </w:rPr>
        <w:t xml:space="preserve">：</w:t>
      </w:r>
      <w:r>
        <w:rPr>
          <w:color w:val="000000" w:themeColor="text1"/>
        </w:rPr>
      </w:r>
      <w:r/>
    </w:p>
    <w:p>
      <w:pPr>
        <w:ind w:left="315" w:right="0" w:firstLine="63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本公司愿就由贵方组织实施的编号为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号的磋商采购活动进行响应。本公司所提交的响应文件中所有关于响应文件、证明和陈述均是真实的、准确的、有效的。若与真实情况不符，本公司愿意承担由此而产生的一切后果。</w:t>
      </w:r>
      <w:r>
        <w:rPr>
          <w:color w:val="000000" w:themeColor="text1"/>
        </w:rPr>
      </w:r>
      <w:r/>
    </w:p>
    <w:p>
      <w:pPr>
        <w:ind w:left="0" w:right="0" w:firstLine="4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3465"/>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（响应单位）法定代表人（负责人）：（签字或盖章）</w:t>
      </w:r>
      <w:r>
        <w:rPr>
          <w:color w:val="000000" w:themeColor="text1"/>
        </w:rPr>
      </w:r>
      <w:r/>
    </w:p>
    <w:p>
      <w:pPr>
        <w:ind w:left="0" w:right="0" w:firstLine="273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3465"/>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（供应商名称）公章：</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年月日</w:t>
      </w:r>
      <w:r>
        <w:rPr>
          <w:color w:val="000000" w:themeColor="text1"/>
        </w:rPr>
      </w:r>
      <w:r/>
    </w:p>
    <w:p>
      <w:pPr>
        <w:ind w:left="0" w:right="0" w:firstLine="4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rFonts w:ascii="SimSun" w:hAnsi="SimSun" w:eastAsia="SimSun" w:cs="SimSun"/>
          <w:color w:val="000000" w:themeColor="text1"/>
          <w:sz w:val="21"/>
        </w:rPr>
        <w:t xml:space="preserve"> </w:t>
      </w:r>
      <w:r>
        <w:rPr>
          <w:color w:val="000000" w:themeColor="text1"/>
        </w:rPr>
        <w:br w:type="page" w:clear="all"/>
      </w:r>
      <w:r>
        <w:rPr>
          <w:color w:val="000000" w:themeColor="text1"/>
          <w:sz w:val="24"/>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格式1</w:t>
      </w:r>
      <w:r>
        <w:rPr>
          <w:rFonts w:ascii="SimSun" w:hAnsi="SimSun" w:eastAsia="SimSun" w:cs="SimSun"/>
          <w:b/>
          <w:color w:val="000000" w:themeColor="text1"/>
          <w:sz w:val="21"/>
        </w:rPr>
        <w:t xml:space="preserve">4：中小企业声明函</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中小企业声明函（工程、服务）</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本公司（联合体）郑重声明，根据《政府采购促进中小企业发展管理办法》（财库﹝2020﹞46 号）的规定，本公司（联合体）参加</w:t>
      </w:r>
      <w:r>
        <w:rPr>
          <w:rFonts w:ascii="SimSun" w:hAnsi="SimSun" w:eastAsia="SimSun" w:cs="SimSun"/>
          <w:color w:val="000000" w:themeColor="text1"/>
          <w:sz w:val="21"/>
          <w:u w:val="single"/>
        </w:rPr>
        <w:t xml:space="preserve">（单位名称）</w:t>
      </w:r>
      <w:r>
        <w:rPr>
          <w:rFonts w:ascii="SimSun" w:hAnsi="SimSun" w:eastAsia="SimSun" w:cs="SimSun"/>
          <w:color w:val="000000" w:themeColor="text1"/>
          <w:sz w:val="21"/>
        </w:rPr>
        <w:t xml:space="preserve">的</w:t>
      </w:r>
      <w:r>
        <w:rPr>
          <w:rFonts w:ascii="SimSun" w:hAnsi="SimSun" w:eastAsia="SimSun" w:cs="SimSun"/>
          <w:color w:val="000000" w:themeColor="text1"/>
          <w:sz w:val="21"/>
          <w:u w:val="single"/>
        </w:rPr>
        <w:t xml:space="preserve">（项目名称）</w:t>
      </w:r>
      <w:r>
        <w:rPr>
          <w:rFonts w:ascii="SimSun" w:hAnsi="SimSun" w:eastAsia="SimSun" w:cs="SimSun"/>
          <w:color w:val="000000" w:themeColor="text1"/>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 </w:t>
      </w:r>
      <w:r>
        <w:rPr>
          <w:rFonts w:ascii="SimSun" w:hAnsi="SimSun" w:eastAsia="SimSun" w:cs="SimSun"/>
          <w:color w:val="000000" w:themeColor="text1"/>
          <w:sz w:val="21"/>
          <w:u w:val="single"/>
        </w:rPr>
        <w:t xml:space="preserve">（标的名称）</w:t>
      </w:r>
      <w:r>
        <w:rPr>
          <w:rFonts w:ascii="SimSun" w:hAnsi="SimSun" w:eastAsia="SimSun" w:cs="SimSun"/>
          <w:color w:val="000000" w:themeColor="text1"/>
          <w:sz w:val="21"/>
        </w:rPr>
        <w:t xml:space="preserve">，属于</w:t>
      </w:r>
      <w:r>
        <w:rPr>
          <w:rFonts w:ascii="SimSun" w:hAnsi="SimSun" w:eastAsia="SimSun" w:cs="SimSun"/>
          <w:color w:val="000000" w:themeColor="text1"/>
          <w:sz w:val="21"/>
          <w:u w:val="single"/>
        </w:rPr>
        <w:t xml:space="preserve">（采购文件中明确的所属行业）</w:t>
      </w:r>
      <w:r>
        <w:rPr>
          <w:rFonts w:ascii="SimSun" w:hAnsi="SimSun" w:eastAsia="SimSun" w:cs="SimSun"/>
          <w:color w:val="000000" w:themeColor="text1"/>
          <w:sz w:val="21"/>
        </w:rPr>
        <w:t xml:space="preserve">；承建（承接）企业为（企业名称），从业人员</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人，营业收入为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万元，资产总额为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万元，属于</w:t>
      </w:r>
      <w:r>
        <w:rPr>
          <w:rFonts w:ascii="SimSun" w:hAnsi="SimSun" w:eastAsia="SimSun" w:cs="SimSun"/>
          <w:color w:val="000000" w:themeColor="text1"/>
          <w:sz w:val="21"/>
          <w:u w:val="single"/>
        </w:rPr>
        <w:t xml:space="preserve">（中型企业、小型企业、微型企业）</w:t>
      </w:r>
      <w:r>
        <w:rPr>
          <w:rFonts w:ascii="SimSun" w:hAnsi="SimSun" w:eastAsia="SimSun" w:cs="SimSun"/>
          <w:color w:val="000000" w:themeColor="text1"/>
          <w:sz w:val="21"/>
        </w:rPr>
        <w:t xml:space="preserve">；</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 </w:t>
      </w:r>
      <w:r>
        <w:rPr>
          <w:rFonts w:ascii="SimSun" w:hAnsi="SimSun" w:eastAsia="SimSun" w:cs="SimSun"/>
          <w:color w:val="000000" w:themeColor="text1"/>
          <w:sz w:val="21"/>
          <w:u w:val="single"/>
        </w:rPr>
        <w:t xml:space="preserve">（标的名称）</w:t>
      </w:r>
      <w:r>
        <w:rPr>
          <w:rFonts w:ascii="SimSun" w:hAnsi="SimSun" w:eastAsia="SimSun" w:cs="SimSun"/>
          <w:color w:val="000000" w:themeColor="text1"/>
          <w:sz w:val="21"/>
        </w:rPr>
        <w:t xml:space="preserve">，属于</w:t>
      </w:r>
      <w:r>
        <w:rPr>
          <w:rFonts w:ascii="SimSun" w:hAnsi="SimSun" w:eastAsia="SimSun" w:cs="SimSun"/>
          <w:color w:val="000000" w:themeColor="text1"/>
          <w:sz w:val="21"/>
          <w:u w:val="single"/>
        </w:rPr>
        <w:t xml:space="preserve">（采购文件中明确的所属行业）</w:t>
      </w:r>
      <w:r>
        <w:rPr>
          <w:rFonts w:ascii="SimSun" w:hAnsi="SimSun" w:eastAsia="SimSun" w:cs="SimSun"/>
          <w:color w:val="000000" w:themeColor="text1"/>
          <w:sz w:val="21"/>
        </w:rPr>
        <w:t xml:space="preserve">；承建（承接）企业为（企业名称），从业人员</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人，营业收入为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万元，资产总额为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万元，属于</w:t>
      </w:r>
      <w:r>
        <w:rPr>
          <w:rFonts w:ascii="SimSun" w:hAnsi="SimSun" w:eastAsia="SimSun" w:cs="SimSun"/>
          <w:color w:val="000000" w:themeColor="text1"/>
          <w:sz w:val="21"/>
          <w:u w:val="single"/>
        </w:rPr>
        <w:t xml:space="preserve">（中型企业、小型企业、微型企业）</w:t>
      </w:r>
      <w:r>
        <w:rPr>
          <w:rFonts w:ascii="SimSun" w:hAnsi="SimSun" w:eastAsia="SimSun" w:cs="SimSun"/>
          <w:color w:val="000000" w:themeColor="text1"/>
          <w:sz w:val="21"/>
        </w:rPr>
        <w:t xml:space="preserve">；</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以上企业，不属于大企业的分支机构，不存在控股股东为大企业的情形，也不存在与大企业的负责人为同一人的情形。</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本企业对上述声明内容的真实性负责。如有虚假，将依法承担相应责任。</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供应商名称（盖章）：</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备注：</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1.从业人员、营业收入、资产总额填报上一年度数据，无上一年度数据的新成立企业可不填报。</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b/>
          <w:color w:val="000000" w:themeColor="text1"/>
          <w:sz w:val="21"/>
        </w:rPr>
        <w:t xml:space="preserve">如未对中型企业或小型企业或微型企业进行明确</w:t>
      </w:r>
      <w:r>
        <w:rPr>
          <w:rFonts w:ascii="SimSun" w:hAnsi="SimSun" w:eastAsia="SimSun" w:cs="SimSun"/>
          <w:color w:val="000000" w:themeColor="text1"/>
          <w:sz w:val="21"/>
        </w:rPr>
        <w:t xml:space="preserve">，</w:t>
      </w:r>
      <w:r>
        <w:rPr>
          <w:rFonts w:ascii="SimSun" w:hAnsi="SimSun" w:eastAsia="SimSun" w:cs="SimSun"/>
          <w:b/>
          <w:color w:val="000000" w:themeColor="text1"/>
          <w:sz w:val="21"/>
        </w:rPr>
        <w:t xml:space="preserve">视同非中小微企业</w:t>
      </w:r>
      <w:r>
        <w:rPr>
          <w:rFonts w:ascii="SimSun" w:hAnsi="SimSun" w:eastAsia="SimSun" w:cs="SimSun"/>
          <w:color w:val="000000" w:themeColor="text1"/>
          <w:sz w:val="21"/>
        </w:rPr>
        <w:t xml:space="preserve">。</w:t>
      </w:r>
      <w:r>
        <w:rPr>
          <w:color w:val="000000" w:themeColor="text1"/>
        </w:rPr>
      </w:r>
      <w:r/>
    </w:p>
    <w:p>
      <w:pPr>
        <w:ind w:left="0" w:right="0" w:firstLine="0"/>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中小企业划型标准规定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（一）农、林、牧、渔业。</w:t>
      </w:r>
      <w:r>
        <w:rPr>
          <w:rFonts w:ascii="SimSun" w:hAnsi="SimSun" w:eastAsia="SimSun" w:cs="SimSun"/>
          <w:color w:val="000000" w:themeColor="text1"/>
          <w:sz w:val="21"/>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（二）工业。</w:t>
      </w:r>
      <w:r>
        <w:rPr>
          <w:rFonts w:ascii="SimSun" w:hAnsi="SimSun" w:eastAsia="SimSun" w:cs="SimSun"/>
          <w:color w:val="000000" w:themeColor="text1"/>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（三）建筑业。</w:t>
      </w:r>
      <w:r>
        <w:rPr>
          <w:rFonts w:ascii="SimSun" w:hAnsi="SimSun" w:eastAsia="SimSun" w:cs="SimSun"/>
          <w:color w:val="000000" w:themeColor="text1"/>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（四）批发业。</w:t>
      </w:r>
      <w:r>
        <w:rPr>
          <w:rFonts w:ascii="SimSun" w:hAnsi="SimSun" w:eastAsia="SimSun" w:cs="SimSun"/>
          <w:color w:val="000000" w:themeColor="text1"/>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（五）零售业。</w:t>
      </w:r>
      <w:r>
        <w:rPr>
          <w:rFonts w:ascii="SimSun" w:hAnsi="SimSun" w:eastAsia="SimSun" w:cs="SimSun"/>
          <w:color w:val="000000" w:themeColor="text1"/>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（六）交通运输业。</w:t>
      </w:r>
      <w:r>
        <w:rPr>
          <w:rFonts w:ascii="SimSun" w:hAnsi="SimSun" w:eastAsia="SimSun" w:cs="SimSun"/>
          <w:color w:val="000000" w:themeColor="text1"/>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（七）仓储业。</w:t>
      </w:r>
      <w:r>
        <w:rPr>
          <w:rFonts w:ascii="SimSun" w:hAnsi="SimSun" w:eastAsia="SimSun" w:cs="SimSun"/>
          <w:color w:val="000000" w:themeColor="text1"/>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（八）邮政业。</w:t>
      </w:r>
      <w:r>
        <w:rPr>
          <w:rFonts w:ascii="SimSun" w:hAnsi="SimSun" w:eastAsia="SimSun" w:cs="SimSun"/>
          <w:color w:val="000000" w:themeColor="text1"/>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（九）住宿业。</w:t>
      </w:r>
      <w:r>
        <w:rPr>
          <w:rFonts w:ascii="SimSun" w:hAnsi="SimSun" w:eastAsia="SimSun" w:cs="SimSun"/>
          <w:color w:val="000000" w:themeColor="text1"/>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（十）其他未列明行业。</w:t>
      </w:r>
      <w:r>
        <w:rPr>
          <w:rFonts w:ascii="SimSun" w:hAnsi="SimSun" w:eastAsia="SimSun" w:cs="SimSun"/>
          <w:color w:val="000000" w:themeColor="text1"/>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（十一）信息传输业。</w:t>
      </w:r>
      <w:r>
        <w:rPr>
          <w:rFonts w:ascii="SimSun" w:hAnsi="SimSun" w:eastAsia="SimSun" w:cs="SimSun"/>
          <w:color w:val="000000" w:themeColor="text1"/>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（十二）软件和信息技术服务业。</w:t>
      </w:r>
      <w:r>
        <w:rPr>
          <w:rFonts w:ascii="SimSun" w:hAnsi="SimSun" w:eastAsia="SimSun" w:cs="SimSun"/>
          <w:color w:val="000000" w:themeColor="text1"/>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（十三）房地产开发经营。</w:t>
      </w:r>
      <w:r>
        <w:rPr>
          <w:rFonts w:ascii="SimSun" w:hAnsi="SimSun" w:eastAsia="SimSun" w:cs="SimSun"/>
          <w:color w:val="000000" w:themeColor="text1"/>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（十四）物业管理。</w:t>
      </w:r>
      <w:r>
        <w:rPr>
          <w:rFonts w:ascii="SimSun" w:hAnsi="SimSun" w:eastAsia="SimSun" w:cs="SimSun"/>
          <w:color w:val="000000" w:themeColor="text1"/>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（十五）租赁和商务服务业。</w:t>
      </w:r>
      <w:r>
        <w:rPr>
          <w:rFonts w:ascii="SimSun" w:hAnsi="SimSun" w:eastAsia="SimSun" w:cs="SimSun"/>
          <w:color w:val="000000" w:themeColor="text1"/>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left="0" w:right="0" w:firstLine="422"/>
        <w:jc w:val="both"/>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（十六）其他未列明行业。</w:t>
      </w:r>
      <w:r>
        <w:rPr>
          <w:rFonts w:ascii="SimSun" w:hAnsi="SimSun" w:eastAsia="SimSun" w:cs="SimSun"/>
          <w:color w:val="000000" w:themeColor="text1"/>
          <w:sz w:val="21"/>
        </w:rPr>
        <w:t xml:space="preserve">从业人员300人以下的为中小微型企业。其中，从业人员100人及以上的为中型企业；从业人员10人及以上的为小型企业；从业人员10人以下的为微型企业。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rFonts w:ascii="SimSun" w:hAnsi="SimSun" w:eastAsia="SimSun" w:cs="SimSun"/>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r>
      <w:r>
        <w:rPr>
          <w:rFonts w:ascii="SimSun" w:hAnsi="SimSun" w:eastAsia="SimSun" w:cs="SimSun"/>
          <w:b/>
          <w:color w:val="000000" w:themeColor="text1"/>
          <w:sz w:val="21"/>
          <w:highlight w:val="none"/>
        </w:rPr>
      </w:r>
    </w:p>
    <w:p>
      <w:pPr>
        <w:ind w:left="0" w:right="0" w:firstLine="0"/>
        <w:jc w:val="both"/>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格式15：残疾人福利性单位声明函</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残疾人福利性单位声明函</w:t>
      </w:r>
      <w:r>
        <w:rPr>
          <w:color w:val="000000" w:themeColor="text1"/>
        </w:rPr>
      </w:r>
      <w:r/>
    </w:p>
    <w:p>
      <w:pPr>
        <w:ind w:left="0" w:right="0" w:firstLine="420"/>
        <w:jc w:val="both"/>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left="0" w:right="0" w:firstLine="420"/>
        <w:jc w:val="both"/>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本单位对上述声明的真实性负责。如有虚假，将依法承担相应责任。</w:t>
      </w:r>
      <w:r>
        <w:rPr>
          <w:color w:val="000000" w:themeColor="text1"/>
        </w:rPr>
      </w:r>
      <w:r/>
    </w:p>
    <w:p>
      <w:pPr>
        <w:ind w:left="0" w:right="0" w:firstLine="420"/>
        <w:jc w:val="both"/>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1560" w:firstLine="420"/>
        <w:jc w:val="right"/>
        <w:spacing w:before="0" w:after="0" w:line="579"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供应商名称（盖章）：</w:t>
      </w:r>
      <w:r>
        <w:rPr>
          <w:color w:val="000000" w:themeColor="text1"/>
        </w:rPr>
      </w:r>
      <w:r/>
    </w:p>
    <w:p>
      <w:pPr>
        <w:ind w:left="0" w:right="1560" w:firstLine="420"/>
        <w:jc w:val="right"/>
        <w:spacing w:before="0" w:after="0" w:line="579"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格式16：监狱企业证明文件（如有）</w:t>
      </w:r>
      <w:r>
        <w:rPr>
          <w:color w:val="000000" w:themeColor="text1"/>
        </w:rPr>
      </w:r>
      <w:r/>
    </w:p>
    <w:p>
      <w:pPr>
        <w:ind w:left="0" w:right="0" w:firstLine="0"/>
        <w:jc w:val="both"/>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监狱企业的证明文件</w:t>
      </w:r>
      <w:r>
        <w:rPr>
          <w:color w:val="000000" w:themeColor="text1"/>
        </w:rPr>
      </w:r>
      <w:r/>
    </w:p>
    <w:p>
      <w:pPr>
        <w:ind w:left="0" w:right="0" w:firstLine="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格式17：投标（响应）保证承诺书</w:t>
      </w:r>
      <w:r>
        <w:rPr>
          <w:color w:val="000000" w:themeColor="text1"/>
        </w:rPr>
      </w:r>
      <w:r/>
    </w:p>
    <w:p>
      <w:pPr>
        <w:ind w:left="0" w:right="0"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21"/>
        </w:rPr>
        <w:t xml:space="preserve"> </w:t>
      </w:r>
      <w:r>
        <w:rPr>
          <w:color w:val="000000" w:themeColor="text1"/>
        </w:rPr>
      </w:r>
      <w:r/>
    </w:p>
    <w:p>
      <w:pPr>
        <w:ind w:left="0" w:right="0"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21"/>
        </w:rPr>
        <w:t xml:space="preserve">投标（响应）保证承诺书（参考格式）</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致：</w:t>
      </w:r>
      <w:r>
        <w:rPr>
          <w:rFonts w:ascii="SimSun" w:hAnsi="SimSun" w:eastAsia="SimSun" w:cs="SimSun"/>
          <w:color w:val="000000" w:themeColor="text1"/>
          <w:sz w:val="21"/>
          <w:u w:val="single"/>
        </w:rPr>
        <w:t xml:space="preserve">苏州汇顺项目管理咨询有限公司、苏州高新区（虎丘区）通安镇人民政府 </w:t>
      </w:r>
      <w:r>
        <w:rPr>
          <w:color w:val="000000" w:themeColor="text1"/>
        </w:rPr>
      </w:r>
      <w:r/>
    </w:p>
    <w:p>
      <w:pPr>
        <w:ind w:left="0" w:right="0" w:firstLine="60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我（单位/本人，以下统称我单位）自愿参加</w:t>
      </w:r>
      <w:r>
        <w:rPr>
          <w:rFonts w:ascii="SimSun" w:hAnsi="SimSun" w:eastAsia="SimSun" w:cs="SimSun"/>
          <w:color w:val="000000" w:themeColor="text1"/>
          <w:sz w:val="21"/>
          <w:u w:val="single"/>
        </w:rPr>
        <w:t xml:space="preserve"> （项目名称和采购编号）</w:t>
      </w:r>
      <w:r>
        <w:rPr>
          <w:rFonts w:ascii="SimSun" w:hAnsi="SimSun" w:eastAsia="SimSun" w:cs="SimSun"/>
          <w:color w:val="000000" w:themeColor="text1"/>
          <w:sz w:val="21"/>
        </w:rPr>
        <w:t xml:space="preserve">的投标（响应）,并做出如下承诺：</w:t>
      </w:r>
      <w:r>
        <w:rPr>
          <w:color w:val="000000" w:themeColor="text1"/>
        </w:rPr>
      </w:r>
      <w:r/>
    </w:p>
    <w:p>
      <w:pPr>
        <w:ind w:left="0" w:right="0" w:firstLine="60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一、除不可抗力外，我单位如果发生以下行为，将在行为发生的10个工作日内，向贵方</w:t>
      </w:r>
      <w:r>
        <w:rPr>
          <w:rFonts w:ascii="SimSun" w:hAnsi="SimSun" w:eastAsia="SimSun" w:cs="SimSun"/>
          <w:color w:val="000000" w:themeColor="text1"/>
          <w:sz w:val="21"/>
          <w:u w:val="single"/>
        </w:rPr>
        <w:t xml:space="preserve">（或采购人）</w:t>
      </w:r>
      <w:r>
        <w:rPr>
          <w:rFonts w:ascii="SimSun" w:hAnsi="SimSun" w:eastAsia="SimSun" w:cs="SimSun"/>
          <w:color w:val="000000" w:themeColor="text1"/>
          <w:sz w:val="21"/>
        </w:rPr>
        <w:t xml:space="preserve">支付本采购文件公布的预算金额的2%作为违约赔偿金。</w:t>
      </w:r>
      <w:r>
        <w:rPr>
          <w:color w:val="000000" w:themeColor="text1"/>
        </w:rPr>
      </w:r>
      <w:r/>
    </w:p>
    <w:p>
      <w:pPr>
        <w:numPr>
          <w:ilvl w:val="0"/>
          <w:numId w:val="8"/>
        </w:numPr>
        <w:spacing w:before="0" w:after="0" w:line="439" w:lineRule="atLeast"/>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自投标（响应）截止时间至本项目发布中标（成交）公告为止，撤销投标（响应）；</w:t>
      </w:r>
      <w:r>
        <w:rPr>
          <w:color w:val="000000" w:themeColor="text1"/>
        </w:rPr>
      </w:r>
      <w:r/>
    </w:p>
    <w:p>
      <w:pPr>
        <w:numPr>
          <w:ilvl w:val="0"/>
          <w:numId w:val="8"/>
        </w:numPr>
        <w:spacing w:before="0" w:after="0" w:line="439" w:lineRule="atLeast"/>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中标（成交）后不依法与采购人签订合同；</w:t>
      </w:r>
      <w:r>
        <w:rPr>
          <w:color w:val="000000" w:themeColor="text1"/>
        </w:rPr>
      </w:r>
      <w:r/>
    </w:p>
    <w:p>
      <w:pPr>
        <w:numPr>
          <w:ilvl w:val="0"/>
          <w:numId w:val="8"/>
        </w:numPr>
        <w:spacing w:before="0" w:after="0" w:line="439" w:lineRule="atLeast"/>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中标（成交）后不按本采购文件规定向采购人提交履约保证金；</w:t>
      </w:r>
      <w:r>
        <w:rPr>
          <w:color w:val="000000" w:themeColor="text1"/>
        </w:rPr>
      </w:r>
      <w:r/>
    </w:p>
    <w:p>
      <w:pPr>
        <w:numPr>
          <w:ilvl w:val="0"/>
          <w:numId w:val="8"/>
        </w:numPr>
        <w:spacing w:before="0" w:after="0" w:line="439" w:lineRule="atLeast"/>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中标（成交）后不按本采购文件规定向贵方缴纳采购代理费。</w:t>
      </w:r>
      <w:r>
        <w:rPr>
          <w:color w:val="000000" w:themeColor="text1"/>
        </w:rPr>
      </w:r>
      <w:r/>
    </w:p>
    <w:p>
      <w:pPr>
        <w:ind w:left="0" w:right="0" w:firstLine="60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二、我单位知晓上述行为的法律后果，承认本承诺书作为贵方</w:t>
      </w:r>
      <w:r>
        <w:rPr>
          <w:rFonts w:ascii="SimSun" w:hAnsi="SimSun" w:eastAsia="SimSun" w:cs="SimSun"/>
          <w:color w:val="000000" w:themeColor="text1"/>
          <w:sz w:val="21"/>
          <w:u w:val="single"/>
        </w:rPr>
        <w:t xml:space="preserve">（或采购人）</w:t>
      </w:r>
      <w:r>
        <w:rPr>
          <w:rFonts w:ascii="SimSun" w:hAnsi="SimSun" w:eastAsia="SimSun" w:cs="SimSun"/>
          <w:color w:val="000000" w:themeColor="text1"/>
          <w:sz w:val="21"/>
        </w:rPr>
        <w:t xml:space="preserve">要求我单位履行违约赔偿义务的依据作用。</w:t>
      </w:r>
      <w:r>
        <w:rPr>
          <w:color w:val="000000" w:themeColor="text1"/>
        </w:rPr>
      </w:r>
      <w:r/>
    </w:p>
    <w:p>
      <w:pPr>
        <w:ind w:left="156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（盖公章）</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w:t>
      </w:r>
      <w:r>
        <w:rPr>
          <w:rFonts w:ascii="SimSun" w:hAnsi="SimSun" w:eastAsia="SimSun" w:cs="SimSun"/>
          <w:color w:val="000000" w:themeColor="text1"/>
          <w:sz w:val="21"/>
          <w:u w:val="single"/>
        </w:rPr>
        <w:t xml:space="preserve">                               </w:t>
      </w:r>
      <w:r>
        <w:rPr>
          <w:color w:val="000000" w:themeColor="text1"/>
        </w:rPr>
      </w:r>
      <w:r/>
    </w:p>
    <w:p>
      <w:pPr>
        <w:ind w:left="0" w:right="0" w:firstLine="0"/>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      传真：</w:t>
      </w:r>
      <w:r>
        <w:rPr>
          <w:rFonts w:ascii="SimSun" w:hAnsi="SimSun" w:eastAsia="SimSun" w:cs="SimSun"/>
          <w:color w:val="000000" w:themeColor="text1"/>
          <w:sz w:val="21"/>
          <w:u w:val="single"/>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电子邮件：</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      邮编：</w:t>
      </w:r>
      <w:r>
        <w:rPr>
          <w:rFonts w:ascii="SimSun" w:hAnsi="SimSun" w:eastAsia="SimSun" w:cs="SimSun"/>
          <w:color w:val="000000" w:themeColor="text1"/>
          <w:sz w:val="21"/>
          <w:u w:val="single"/>
        </w:rPr>
        <w:t xml:space="preserve">                       </w:t>
      </w:r>
      <w:r>
        <w:rPr>
          <w:color w:val="000000" w:themeColor="text1"/>
        </w:rPr>
      </w:r>
      <w:r/>
    </w:p>
    <w:p>
      <w:pPr>
        <w:ind w:left="0" w:right="0" w:firstLine="0"/>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法定代表人或委托代理人（签字或盖章）：</w:t>
      </w:r>
      <w:r>
        <w:rPr>
          <w:rFonts w:ascii="SimSun" w:hAnsi="SimSun" w:eastAsia="SimSun" w:cs="SimSun"/>
          <w:color w:val="000000" w:themeColor="text1"/>
          <w:sz w:val="21"/>
          <w:u w:val="single"/>
        </w:rPr>
        <w:t xml:space="preserve">                      </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w:t>
      </w:r>
      <w:r>
        <w:rPr>
          <w:rFonts w:ascii="SimSun" w:hAnsi="SimSun" w:eastAsia="SimSun" w:cs="SimSun"/>
          <w:color w:val="000000" w:themeColor="text1"/>
          <w:sz w:val="21"/>
          <w:u w:val="single"/>
        </w:rPr>
        <w:t xml:space="preserve">                       </w:t>
      </w:r>
      <w:r>
        <w:rPr>
          <w:color w:val="000000" w:themeColor="text1"/>
        </w:rPr>
      </w:r>
      <w:r/>
    </w:p>
    <w:p>
      <w:pPr>
        <w:ind w:left="0" w:right="420" w:firstLine="422"/>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格式18：响应服务承诺函</w:t>
      </w:r>
      <w:r>
        <w:rPr>
          <w:color w:val="000000" w:themeColor="text1"/>
        </w:rPr>
      </w:r>
      <w:r/>
    </w:p>
    <w:p>
      <w:pPr>
        <w:ind w:left="0" w:right="0" w:firstLine="0"/>
        <w:jc w:val="center"/>
        <w:spacing w:before="0" w:after="156"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响应服务承诺函</w:t>
      </w:r>
      <w:r>
        <w:rPr>
          <w:color w:val="000000" w:themeColor="text1"/>
        </w:rPr>
      </w:r>
      <w:r/>
    </w:p>
    <w:p>
      <w:pPr>
        <w:ind w:left="0" w:right="0" w:firstLine="42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为保证</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采购项目的工作质量和效率，做好服务工作，我公司承诺保证必要的响应服务时间，具体如下：</w:t>
      </w:r>
      <w:r>
        <w:rPr>
          <w:color w:val="000000" w:themeColor="text1"/>
        </w:rPr>
      </w:r>
      <w:r/>
    </w:p>
    <w:p>
      <w:pPr>
        <w:ind w:left="0" w:right="0" w:firstLine="42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一、我公司保证所提供的服务人员符合响应文件承诺， 服从采购人的规章制度，达到采购人工作标准和要求。</w:t>
      </w:r>
      <w:r>
        <w:rPr>
          <w:color w:val="000000" w:themeColor="text1"/>
        </w:rPr>
      </w:r>
      <w:r/>
    </w:p>
    <w:p>
      <w:pPr>
        <w:ind w:left="0" w:right="0" w:firstLine="42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二、我公司保证成交后，如采购人对服务工作有任何工作安排，相应专职负责人、项目负责人务必及时响应。</w:t>
      </w:r>
      <w:r>
        <w:rPr>
          <w:color w:val="000000" w:themeColor="text1"/>
        </w:rPr>
      </w:r>
      <w:r/>
    </w:p>
    <w:p>
      <w:pPr>
        <w:ind w:left="0" w:right="0" w:firstLine="42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三、如我公司在服务期内，被发现实质性违背响应服务承诺书情况一次的，则采购人有权终止本项目的服务合同，通报行业主管部门或其他相关部门进行处理，并将相关情况报政府采购监督管理部门作为虚假投标的证据。</w:t>
      </w:r>
      <w:r>
        <w:rPr>
          <w:color w:val="000000" w:themeColor="text1"/>
        </w:rPr>
      </w:r>
      <w:r/>
    </w:p>
    <w:p>
      <w:pPr>
        <w:ind w:left="0" w:right="0" w:firstLine="42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四、我公司将制定完善的人员及组织措施保障工作服务响应，服从采购人的管理。</w:t>
      </w:r>
      <w:r>
        <w:rPr>
          <w:color w:val="000000" w:themeColor="text1"/>
        </w:rPr>
      </w:r>
      <w:r/>
    </w:p>
    <w:p>
      <w:pPr>
        <w:ind w:left="0" w:right="0" w:firstLine="420"/>
        <w:spacing w:before="0" w:after="0" w:line="439" w:lineRule="atLeast"/>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五、负责部门：</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 ；联系人：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 ； 联系电话（座机及手机号码）：</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w:t>
      </w:r>
      <w:r>
        <w:rPr>
          <w:color w:val="000000" w:themeColor="text1"/>
        </w:rPr>
      </w:r>
      <w:r/>
    </w:p>
    <w:p>
      <w:pPr>
        <w:ind w:left="980" w:right="0" w:firstLine="0"/>
        <w:spacing w:before="0" w:after="0" w:line="357" w:lineRule="atLeast"/>
        <w:tabs>
          <w:tab w:val="left" w:pos="517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980" w:right="0" w:firstLine="0"/>
        <w:spacing w:before="0" w:after="0" w:line="357" w:lineRule="atLeast"/>
        <w:tabs>
          <w:tab w:val="left" w:pos="517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法定代表人或代理人：（签字或盖章）</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34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格式19：安全承诺责任书</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苏州汇顺项目管理咨询有限公司、苏州高新区（虎丘区）通安镇人民政府</w:t>
      </w:r>
      <w:r>
        <w:rPr>
          <w:rFonts w:ascii="SimSun" w:hAnsi="SimSun" w:eastAsia="SimSun" w:cs="SimSun"/>
          <w:color w:val="000000" w:themeColor="text1"/>
          <w:sz w:val="21"/>
        </w:rPr>
        <w:t xml:space="preserve">：</w:t>
      </w:r>
      <w:r>
        <w:rPr>
          <w:color w:val="000000" w:themeColor="text1"/>
        </w:rPr>
      </w:r>
      <w:r/>
    </w:p>
    <w:p>
      <w:pPr>
        <w:ind w:left="0" w:right="0" w:firstLine="420"/>
        <w:jc w:val="both"/>
        <w:spacing w:before="156"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如我单位成交，我方将认真履行本次采购项目的所有承诺，我方愿承担所聘全部人员的人身安全及设备的财产安全的全部责任，一旦发生安全问题，均由我方全权负责。</w:t>
      </w:r>
      <w:r>
        <w:rPr>
          <w:color w:val="000000" w:themeColor="text1"/>
        </w:rPr>
      </w:r>
      <w:r/>
    </w:p>
    <w:p>
      <w:pPr>
        <w:ind w:left="0" w:right="0" w:firstLine="21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供应商名称：（单位盖章）</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法定代表人或代理人：（签字或盖章）</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pStyle w:val="745"/>
        <w:ind w:left="0" w:right="0" w:firstLine="0"/>
        <w:jc w:val="both"/>
        <w:spacing w:before="260" w:after="26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格式20：其他承诺函（如有）</w:t>
      </w:r>
      <w:r>
        <w:rPr>
          <w:color w:val="000000" w:themeColor="text1"/>
        </w:rPr>
      </w:r>
      <w:r/>
    </w:p>
    <w:p>
      <w:pPr>
        <w:pStyle w:val="743"/>
        <w:ind w:left="0" w:right="0" w:firstLine="0"/>
        <w:jc w:val="center"/>
        <w:spacing w:before="0" w:after="156" w:line="40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pStyle w:val="743"/>
        <w:ind w:left="0" w:right="0" w:firstLine="0"/>
        <w:jc w:val="center"/>
        <w:spacing w:before="0" w:after="156"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第四章 采购需求</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苏州汇顺项目管理咨询有限公司</w:t>
      </w:r>
      <w:r>
        <w:rPr>
          <w:rFonts w:ascii="SimSun" w:hAnsi="SimSun" w:eastAsia="SimSun" w:cs="SimSun"/>
          <w:color w:val="000000" w:themeColor="text1"/>
          <w:sz w:val="21"/>
        </w:rPr>
        <w:t xml:space="preserve">受</w:t>
      </w:r>
      <w:r>
        <w:rPr>
          <w:rFonts w:ascii="SimSun" w:hAnsi="SimSun" w:eastAsia="SimSun" w:cs="SimSun"/>
          <w:color w:val="000000" w:themeColor="text1"/>
          <w:sz w:val="21"/>
          <w:u w:val="single"/>
        </w:rPr>
        <w:t xml:space="preserve">苏州高新区（虎丘区）通安镇人民政府</w:t>
      </w:r>
      <w:r>
        <w:rPr>
          <w:rFonts w:ascii="SimSun" w:hAnsi="SimSun" w:eastAsia="SimSun" w:cs="SimSun"/>
          <w:color w:val="000000" w:themeColor="text1"/>
          <w:sz w:val="21"/>
        </w:rPr>
        <w:t xml:space="preserve">的委托，就其所需要采购的</w:t>
      </w:r>
      <w:r>
        <w:rPr>
          <w:rFonts w:ascii="SimSun" w:hAnsi="SimSun" w:eastAsia="SimSun" w:cs="SimSun"/>
          <w:color w:val="000000" w:themeColor="text1"/>
          <w:sz w:val="21"/>
          <w:u w:val="single"/>
        </w:rPr>
        <w:t xml:space="preserve">2026年通安镇太湖蓝藻水草打捞项目</w:t>
      </w:r>
      <w:r>
        <w:rPr>
          <w:rFonts w:ascii="SimSun" w:hAnsi="SimSun" w:eastAsia="SimSun" w:cs="SimSun"/>
          <w:color w:val="000000" w:themeColor="text1"/>
          <w:sz w:val="21"/>
        </w:rPr>
        <w:t xml:space="preserve">在国内组织竞争性磋商采购。欢迎符合磋商采购文件资格条件的供应商前来参加磋商。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一、项目编号：</w:t>
      </w:r>
      <w:r>
        <w:rPr>
          <w:rFonts w:ascii="SimSun" w:hAnsi="SimSun" w:eastAsia="SimSun" w:cs="SimSun"/>
          <w:color w:val="000000" w:themeColor="text1"/>
          <w:sz w:val="21"/>
        </w:rPr>
        <w:t xml:space="preserve">JSZC-320505-SZHS-C2026-0005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二、项目名称：</w:t>
      </w:r>
      <w:r>
        <w:rPr>
          <w:rFonts w:ascii="SimSun" w:hAnsi="SimSun" w:eastAsia="SimSun" w:cs="SimSun"/>
          <w:color w:val="000000" w:themeColor="text1"/>
          <w:sz w:val="21"/>
        </w:rPr>
        <w:t xml:space="preserve">2026年通安镇太湖蓝藻水草打捞项目</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三、项目预算：</w:t>
      </w:r>
      <w:r>
        <w:rPr>
          <w:rFonts w:ascii="SimSun" w:hAnsi="SimSun" w:eastAsia="SimSun" w:cs="SimSun"/>
          <w:color w:val="000000" w:themeColor="text1"/>
          <w:sz w:val="21"/>
        </w:rPr>
        <w:t xml:space="preserve">人民币壹佰零伍万元整（￥：1050000.00）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四、最高限价：</w:t>
      </w:r>
      <w:r>
        <w:rPr>
          <w:rFonts w:ascii="SimSun" w:hAnsi="SimSun" w:eastAsia="SimSun" w:cs="SimSun"/>
          <w:color w:val="000000" w:themeColor="text1"/>
          <w:sz w:val="21"/>
        </w:rPr>
        <w:t xml:space="preserve">人民币壹佰零伍万元整（￥：1050000.00）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五</w:t>
      </w:r>
      <w:r>
        <w:rPr>
          <w:rFonts w:ascii="SimSun" w:hAnsi="SimSun" w:eastAsia="SimSun" w:cs="SimSun"/>
          <w:b/>
          <w:color w:val="000000" w:themeColor="text1"/>
          <w:sz w:val="21"/>
        </w:rPr>
        <w:t xml:space="preserve">：服务地点：</w:t>
      </w:r>
      <w:r>
        <w:rPr>
          <w:rFonts w:ascii="SimSun" w:hAnsi="SimSun" w:eastAsia="SimSun" w:cs="SimSun"/>
          <w:color w:val="000000" w:themeColor="text1"/>
          <w:sz w:val="21"/>
        </w:rPr>
        <w:t xml:space="preserve">通安镇太湖水域及龙塘港闸、金墅港闸、田鸡港闸及闸口向内50米、顺堤河（龙塘港闸至金墅港闸）。</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六、采购内容及要求：</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（一）项目概况：</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管理范围为通安镇太湖水域及龙塘港闸、金墅港闸、田鸡港闸及闸口向内50米、顺堤河（龙塘港闸至金墅港闸）。打捞内容为管理范围内的蓝藻、水草、水面漂浮物及岸坡垃圾，蓝藻打捞主要以机械打捞为主，涵盖全年蓝藻水草打捞，期间还有采购单位布置的突击打捞任务。</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（二）合同履行期限：</w:t>
      </w:r>
      <w:r>
        <w:rPr>
          <w:rFonts w:ascii="SimSun" w:hAnsi="SimSun" w:eastAsia="SimSun" w:cs="SimSun"/>
          <w:color w:val="000000" w:themeColor="text1"/>
          <w:sz w:val="21"/>
        </w:rPr>
        <w:t xml:space="preserve">一年（具体起止时间以合同签订为准）。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（三）具体要求：</w:t>
      </w:r>
      <w:r>
        <w:rPr>
          <w:color w:val="000000" w:themeColor="text1"/>
        </w:rPr>
      </w:r>
      <w:r/>
    </w:p>
    <w:p>
      <w:pPr>
        <w:ind w:left="0" w:right="0" w:firstLine="426"/>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1、本项目设备及人员要求如下：</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268"/>
        <w:gridCol w:w="98"/>
        <w:gridCol w:w="6277"/>
      </w:tblGrid>
      <w:tr>
        <w:trPr>
          <w:trHeight w:val="5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项目名称</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说明</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蓝藻打捞总体</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要求</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一船两人（根据打捞需要提供船只及配备人员）</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细</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要</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求</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1、合同履行期内，机械打捞船、人工打捞船根据每天巡查情况调度作业，运输船配合调度开展作业，打捞作业必须在2小时内响应，到达指定地点。</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2、蓝藻爆发时，需临时增加作业人员，并按采购单位要求配合加班，费用不再另外计算。</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3、作业总人数应保证22人以上，并按照一船二人定员定岗配备。作业人员年龄男18-65周岁，女18-60周岁，身体健康，并且会游泳。</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4、作业时间：上午7：00——11：00、下午13：00——17：00。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5、包括在承包期内打捞服务所需要的人工费（包括人员工资、社保、保险、各种加班费，夏季高温费，打捞工具和打捞船等相关机械设备使用费、以及在河道水域作业过程中发生的一切费用。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6、包括7条机械打捞船（含长臂打捞船）、藻水分离车、尾水处理车、15条人工打捞船以及2条运输船的日常保养和维护的费用。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7、所有打捞船只机械和船体大保养每年不少于1次（每年3月31日前完成），如采购单位在合同履行期内另有增加船只一并包含在内，费用不另计。</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8、供应商承担蓝藻分离车的使用费用，包括电费、日常养护费、辅助材料费（水泵、水管等）。设备维修和藻水分离药剂费用由采购单位承担。</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安全要求：必须作出安全承诺，承担打捞人员、船只等全部安全责任，每只船只必须配备救生圈，服务人员均需配备救生衣。打捞人员中午不得饮酒并严禁酒后上船；必须为作业人员购买人身意外伤害保险，并报农林管理科备案。</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10、供应商需提供相关驾驶人员，驾驶人员必须具备相关证书（如船舶驾驶证等）。</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11、供应商需具备通安镇太湖沿岸码头使用或租赁证明。</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蓝藻运输船</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人工费</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运输船2条，4个人</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细</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要</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求</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1、蓝藻运输船只由采购单位提供，供应商安排符合要求人员进行规范使用，总人数为4人，一船二人定员定岗配备。</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1、操作人员中每船至少1人应有驾驶船舶的经验，男性，年龄为55岁周岁以下。</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2、蓝藻打捞时间：上午7：00——11：00、下午13：00——17：00。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3、人工费（包括人员工资、社保、保险、夏季高温费，休息加班和节假日加班等一切费用）。</w:t>
            </w:r>
            <w:r>
              <w:rPr>
                <w:color w:val="000000" w:themeColor="text1"/>
              </w:rPr>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机械打捞船</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人工费</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机械打捞船7条，14个人</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细</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要</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求</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1、机械打捞船只由采购单位提供，供应商安排符合要求人员进行规范使用，总人数为14人，一船二人定员定岗配备。</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2、操作人员中每船至少1人应有驾驶船舶的经验，男性，年龄为55岁周岁以下。</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3、蓝藻打捞时间：上午7：00——11：00、下午13：00——17：00。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4、人工费（包括人员工资、社保、保险、夏季高温费，休息加班和节假日加班等一切费用）</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藻水分离车和</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人员费</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藻水分离车1台，尾水处理车1台，2个人</w:t>
            </w:r>
            <w:r>
              <w:rPr>
                <w:color w:val="000000" w:themeColor="text1"/>
              </w:rPr>
            </w:r>
            <w:r/>
          </w:p>
        </w:tc>
      </w:tr>
      <w:tr>
        <w:trPr>
          <w:trHeight w:val="1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详细要求</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藻水分离车和尾水处理车由采购单位提供，供应商安排符合要求人员进行规范使用，总人数为2人。</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1、操作人员，男性，年龄为55周岁以下。</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2、蓝藻打捞时间：上午7：00——11：00、下午13：00——17：00。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3、人工费（包括人员工资、社保、保险、夏季高温费，休息加班和节假日加班等一切费用）。</w:t>
            </w:r>
            <w:r>
              <w:rPr>
                <w:color w:val="000000" w:themeColor="text1"/>
              </w:rPr>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蓝藻巡查</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安排2人开展蓝藻巡查（按需配备）</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细</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要</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求</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1、蓝藻巡查时间：上午6：00——10：30，下午13：00——17：00，上午8点将巡查情况，汇总后上报至农林管理科。</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2、包括各种费用，其他根据情况而定。</w:t>
            </w:r>
            <w:r>
              <w:rPr>
                <w:color w:val="000000" w:themeColor="text1"/>
              </w:rPr>
            </w:r>
            <w:r/>
          </w:p>
        </w:tc>
      </w:tr>
    </w:tbl>
    <w:p>
      <w:pPr>
        <w:ind w:left="0" w:right="0" w:firstLine="425"/>
        <w:jc w:val="both"/>
        <w:spacing w:before="156"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人员数量要求：不少于22人。以上作业量内容为参考，供应商应自行勘察现场，对现场作业环境、设施情况进行详细勘察，全面了解清楚项目现场的情况，综合考虑一切因素后进行投标。勘察现场所需费用，由供应商自理</w:t>
      </w:r>
      <w:r>
        <w:rPr>
          <w:rFonts w:ascii="SimSun" w:hAnsi="SimSun" w:eastAsia="SimSun" w:cs="SimSun"/>
          <w:color w:val="000000" w:themeColor="text1"/>
          <w:sz w:val="21"/>
        </w:rPr>
        <w:t xml:space="preserve">。</w:t>
      </w:r>
      <w:r>
        <w:rPr>
          <w:color w:val="000000" w:themeColor="text1"/>
        </w:rPr>
      </w:r>
      <w:r/>
    </w:p>
    <w:p>
      <w:pPr>
        <w:ind w:left="0" w:right="0" w:firstLine="426"/>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2、本项目服务作业管理要求</w:t>
      </w:r>
      <w:r>
        <w:rPr>
          <w:color w:val="000000" w:themeColor="text1"/>
        </w:rPr>
      </w: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（1）服务内容：项目范围内蓝藻打捞清理、水草打捞及尾水垃圾清运等。</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（2）大小船只必须按照采购单位要求统一编号，并与通安镇蓝藻打捞现行船只编号保持一致，便于管理。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（3）所有船只必须集中停放，停放地点需征得采购方同意。</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（4）服务方式：</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①根据采购方实际要求，对以上区域及设施提供服务，积极主动与采购单位协调做好安全防范工作。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②节假日照常上班，遇突击任务及重大活动时应无条件按采购方要求完成采购方布置的工作，同时要准备好一支突击服务队伍，随时应付各种突击服务工作。</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（5）成交单位需将分离出来的藻泥根据采购方要求送至指定处置点，不得私自就地填埋或焚烧水草、漂浮物（包含垃圾）、芦苇等，必须按采购单位要求进行无害化、资源化处置。</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3、安全责任</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作业单位专职安全员，对作业行为的安全进行检查，主要检查要点有（包括但不限于下述内容）：</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（1）水上作业人员必须穿救生衣，穿防滑鞋。</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（2）严格落实水上作业安全技术措施，未经落实时不得进行作业。作业平台上需备足并正确放置救生设备（救生衣、救生圈、救生绳等）。</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（3）对水上作业的安全防护设施必须经常检查，发现有缺陷和隐患时，必须及时解决；危及人身安全时，必须停止作业。</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（4）遇有五级以上强风、浓雾等恶劣气候，不得进行水上作业。暴风雪及台风暴雨前后，应对作业安全设施逐一加以检查，发现问题，立即修理完善。</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（5）作业人员在作业过程中发现安全隐患时应立即处理和上报，确保生产安全。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七、综合说明及其它要求：</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1、供应商提供的服务能够至少达到以上要求，同时明确详细的服务方案。</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2、供应商必须承诺采购文件中提出的全部服务要求，如果其中某些条款不响应时，应在文件中逐条列出，未列出的视同响应。</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供应商应对全部内容进行报价，只投其中部分内容者或出现选择性报价的，其磋商响应文件将被拒绝。磋商总报价一次报定，应包括在承包期内完成合同约定的全部服务所需要的船只的使用费用（折旧、维保费、油费等），人工费（包括人员工资、社保、保险等），所需机械设备及工具、器具等的使用费、以及在服务过程中发生的一切费用、耗材、各种税费及政策性文件规定及合同包含的所有风险、责任等各项应有费用。 </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4、付款方式：</w:t>
      </w:r>
      <w:r>
        <w:rPr>
          <w:rFonts w:ascii="SimSun" w:hAnsi="SimSun" w:eastAsia="SimSun" w:cs="SimSun"/>
          <w:b/>
          <w:color w:val="000000" w:themeColor="text1"/>
          <w:sz w:val="21"/>
        </w:rPr>
        <w:t xml:space="preserve">当季服务经费次季支付，季度考核成绩达到95分标准的，服务经费全额拨付，未达到标准的，相应按比例扣除当月服务费用（如成绩每降低一分，扣减服务经费的1%，考核表见合同内附件：通安镇蓝藻水草打捞考核表）。</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5、在首次付款前，承包人应提供其为本项目服务人员购买的意外伤害险保单等，未提供或提供不全者不予支付。</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6、若成交单位在服务期间，违反下列规定将被解除服务合同：</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（1）严禁将承包的管理服务转包他人；</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（2）相关考核办法的有关规定。</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7、合同履行期间由于成交单位的责任造成社会不良影响的，采购方有权根据情节轻重采取以下一项或多项措施：</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（1）解除与成交单位的合同；</w:t>
      </w:r>
      <w:r>
        <w:rPr>
          <w:color w:val="000000" w:themeColor="text1"/>
        </w:rPr>
      </w:r>
      <w:r/>
    </w:p>
    <w:p>
      <w:pPr>
        <w:ind w:left="0" w:right="0" w:firstLine="46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（2）涉及违约金、赔偿金或其他应付费用的，采购方有权从应支付成交单位的服务费等可扣款项中扣除（若上述款项不足或没有可扣除款项，成交单位应另行向采购方支付）。</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服务期间，服务人员应注意人身交通安全，服务方需对员工进行相关安全培训，项目服务期间，服务方的服务工作人员发生的一切安全问题包括由于成交单位的服务导致的安全事故的责任，均由成交的服务公司自行负责。</w:t>
      </w:r>
      <w:r>
        <w:rPr>
          <w:rFonts w:ascii="SimSun" w:hAnsi="SimSun" w:eastAsia="SimSun" w:cs="SimSun"/>
          <w:b/>
          <w:color w:val="000000" w:themeColor="text1"/>
          <w:sz w:val="21"/>
        </w:rPr>
        <w:t xml:space="preserve">供应商需在磋商响应文件中做出相应承诺。</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9、供应商需承诺成交后保证配合采购单位的各种检查工作。如遇重大活动或重要节日，服务方必须服从采购单位的统一安排和调度，配合做好突击性服务工作，但不另行计费。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10、凡在服务期限内出现劳资问题、工资拖欠问题纠纷，均由供应商负责和赔偿，采购人不承担任何责任和赔偿。</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11、进退场规定</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11.1本项目成交单位与原服务单位之间应无缝交接、平稳过渡，确保服务工作如期顺利开展。在采购单位规定进场日期之前，成交单位必须按照不低于采购规定的人员及车辆、船只等设备设施配置到位，否则视为成交单位虚假应标取消其成交资格，并将按《中华人民共和国政府采购法》相关规定处理并由政府监管部门给予行政处罚。</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11.2在本项目合同履行期限到期后，在新的服务单位接管本项目前，除采购单位要求成交单位提前撤离外，新老服务单位的交接过渡期最长为7天，在此期间成交单位应提供过渡期服务，费用含在磋商报价中；过渡期满后，未按规定进行交接、撤离的，每逾期一天采购单位向成交单位收取相应服务费用总价1%的违约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11.3供应商成交后在合同期内如因未诚信履约等其他原因提前退场的，则须无条件配合采购单位做好交接工作。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合同期间，如出现重大服务缺陷，采购单位有权扣留缺陷出现之日起的对应服务费用，直至缺陷更正，如成交单位对服务缺陷自接到采购单位通知之日起15天内不予更正，采购单位有权另请其他单位更正，所发生的费用在对应应付服务费中扣除。</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13、采购单位与派驻人员不发生任何劳动和雇佣关系，派驻人员由成交单位自行管理，成交单位和派驻人员应遵守安全操作规章制度，若发生人身伤害等工伤事故，由成交单位自负，与采购单位无涉。</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14、成交单位工作人员在岗履行职责期间（包括上下班途中），发生自身的人身伤害、伤亡，均由成交单位负责处理并承担经济和道义上的责任，采购单位不承担任何责任。</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成交单位工作人员的工作未达到采购单位工作要求的，采购单位有权要求成交单位在规定的时间内调换或增配服务人员，成交单位应按采购单位要求将人员安排到位，采购单位不承担除合同约定以外的其他任何费用。如成交单位在规定的时间内未按采购单位要求，调换或增配服务人员的；未经采购单位批准擅自调动、调整工作人员的，根据服务项目考核评分表进行考核扣分并扣除履约保证金，同时采购单位有权解除合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16、因成交单位管理不善，造成服务工作范围内的设施、设备等损坏的，由直接负责人赔偿，若直接负责人因故无法赔偿的，采购单位有权要求成交单位负责赔偿损失，情节严重的可终止合同甚至诉诸法律。</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17、如遇采购单位服务场所调整或迁移等情况，采购单位须将提前三个月告知乙方，合同内容经双方协商调整直至终止。</w:t>
      </w:r>
      <w:r>
        <w:rPr>
          <w:color w:val="000000" w:themeColor="text1"/>
        </w:rPr>
      </w:r>
      <w:r/>
    </w:p>
    <w:p>
      <w:pPr>
        <w:ind w:left="0" w:right="0" w:firstLine="0"/>
        <w:jc w:val="both"/>
        <w:spacing w:before="0" w:after="0"/>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八、凡涉及采购文件的补充说明和修改，均以政府采购网上发布的通知为准。</w:t>
      </w:r>
      <w:r>
        <w:rPr>
          <w:color w:val="000000" w:themeColor="text1"/>
        </w:rPr>
      </w:r>
      <w:r/>
    </w:p>
    <w:p>
      <w:pPr>
        <w:pStyle w:val="743"/>
        <w:ind w:left="0" w:right="0" w:firstLine="0"/>
        <w:jc w:val="left"/>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44"/>
          <w:szCs w:val="44"/>
          <w:highlight w:val="none"/>
        </w:rPr>
      </w:r>
      <w:r>
        <w:rPr>
          <w:rFonts w:ascii="SimSun" w:hAnsi="SimSun" w:eastAsia="SimSun" w:cs="SimSun"/>
          <w:b/>
          <w:bCs/>
          <w:color w:val="000000" w:themeColor="text1"/>
          <w:sz w:val="44"/>
          <w:szCs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44"/>
          <w:szCs w:val="44"/>
          <w:highlight w:val="none"/>
        </w:rPr>
      </w:r>
      <w:r>
        <w:rPr>
          <w:rFonts w:ascii="SimSun" w:hAnsi="SimSun" w:eastAsia="SimSun" w:cs="SimSun"/>
          <w:b/>
          <w:bCs/>
          <w:color w:val="000000" w:themeColor="text1"/>
          <w:sz w:val="44"/>
          <w:szCs w:val="44"/>
          <w:highlight w:val="none"/>
        </w:rPr>
      </w:r>
    </w:p>
    <w:p>
      <w:pPr>
        <w:pStyle w:val="743"/>
        <w:ind w:left="0" w:right="0" w:firstLine="0"/>
        <w:jc w:val="left"/>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r>
      <w:r>
        <w:rPr>
          <w:rFonts w:ascii="SimSun" w:hAnsi="SimSun" w:eastAsia="SimSun" w:cs="SimSun"/>
          <w:b/>
          <w:color w:val="000000" w:themeColor="text1"/>
          <w:sz w:val="44"/>
          <w:highlight w:val="none"/>
        </w:rPr>
      </w:r>
    </w:p>
    <w:p>
      <w:pPr>
        <w:pStyle w:val="743"/>
        <w:ind w:left="0" w:right="0" w:firstLine="0"/>
        <w:jc w:val="center"/>
        <w:spacing w:before="0" w:after="156" w:line="400" w:lineRule="atLeast"/>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第五章 合同的主要条款</w:t>
      </w:r>
      <w:r>
        <w:rPr>
          <w:color w:val="000000" w:themeColor="text1"/>
        </w:rPr>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3"/>
        <w:gridCol w:w="3966"/>
      </w:tblGrid>
      <w:tr>
        <w:trPr>
          <w:trHeight w:val="5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甲方（采购人）：</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6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乙方（供应商）：</w:t>
            </w:r>
            <w:r>
              <w:rPr>
                <w:color w:val="000000" w:themeColor="text1"/>
              </w:rPr>
            </w:r>
            <w:r/>
          </w:p>
        </w:tc>
      </w:tr>
      <w:tr>
        <w:trP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单位地址：</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6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单位地址：</w:t>
            </w:r>
            <w:r>
              <w:rPr>
                <w:color w:val="000000" w:themeColor="text1"/>
              </w:rPr>
            </w:r>
            <w:r/>
          </w:p>
        </w:tc>
      </w:tr>
      <w:tr>
        <w:trPr>
          <w:trHeight w:val="56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6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tc>
      </w:tr>
      <w:tr>
        <w:trPr>
          <w:trHeight w:val="62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6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依据甲方委托</w:t>
      </w:r>
      <w:r>
        <w:rPr>
          <w:rFonts w:ascii="SimSun" w:hAnsi="SimSun" w:eastAsia="SimSun" w:cs="SimSun"/>
          <w:color w:val="000000" w:themeColor="text1"/>
          <w:sz w:val="21"/>
          <w:u w:val="single"/>
        </w:rPr>
        <w:t xml:space="preserve">苏州汇顺项目管理咨询有限公司</w:t>
      </w:r>
      <w:r>
        <w:rPr>
          <w:rFonts w:ascii="SimSun" w:hAnsi="SimSun" w:eastAsia="SimSun" w:cs="SimSun"/>
          <w:color w:val="000000" w:themeColor="text1"/>
          <w:sz w:val="21"/>
        </w:rPr>
        <w:t xml:space="preserve">进行</w:t>
      </w:r>
      <w:r>
        <w:rPr>
          <w:rFonts w:ascii="SimSun" w:hAnsi="SimSun" w:eastAsia="SimSun" w:cs="SimSun"/>
          <w:color w:val="000000" w:themeColor="text1"/>
          <w:sz w:val="21"/>
          <w:u w:val="single"/>
        </w:rPr>
        <w:t xml:space="preserve">2026年通安镇太湖蓝藻水草打捞项目（项目编号：JSZC-320505-SZHS-C2026-0005）</w:t>
      </w:r>
      <w:r>
        <w:rPr>
          <w:rFonts w:ascii="SimSun" w:hAnsi="SimSun" w:eastAsia="SimSun" w:cs="SimSun"/>
          <w:color w:val="000000" w:themeColor="text1"/>
          <w:sz w:val="21"/>
        </w:rPr>
        <w:t xml:space="preserve">采购的成交结果，确定乙方为本次</w:t>
      </w:r>
      <w:r>
        <w:rPr>
          <w:rFonts w:ascii="SimSun" w:hAnsi="SimSun" w:eastAsia="SimSun" w:cs="SimSun"/>
          <w:color w:val="000000" w:themeColor="text1"/>
          <w:sz w:val="21"/>
          <w:u w:val="single"/>
        </w:rPr>
        <w:t xml:space="preserve">2026年通安镇太湖蓝藻水草打捞项目</w:t>
      </w:r>
      <w:r>
        <w:rPr>
          <w:rFonts w:ascii="SimSun" w:hAnsi="SimSun" w:eastAsia="SimSun" w:cs="SimSun"/>
          <w:color w:val="000000" w:themeColor="text1"/>
          <w:sz w:val="21"/>
        </w:rPr>
        <w:t xml:space="preserve">成交供应商，现依照磋商采购文件、乙方的响应文件及相关承诺书等文件的内容，签订本合同书。</w:t>
      </w:r>
      <w:r>
        <w:rPr>
          <w:color w:val="000000" w:themeColor="text1"/>
        </w:rPr>
      </w: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0"/>
          <w:sz w:val="21"/>
        </w:rPr>
        <w:t xml:space="preserve">一、</w:t>
        <w:tab/>
        <w:t xml:space="preserve">合同内容：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1、乙方负责</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服务。管理范围为通安镇太湖水域及龙塘港闸、金墅港闸、田鸡港闸及闸口向内50米、顺堤河（龙塘港闸至金墅港闸）。打捞内容为管理范围内的蓝藻、水草、水面漂浮物及岸坡垃圾，蓝藻打捞主要以机械打捞为主，涵盖全年蓝藻水草打捞，期间还有采购单位布置的突击打捞任务。</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2、合同履行期限：一年，</w:t>
      </w:r>
      <w:r>
        <w:rPr>
          <w:rFonts w:ascii="SimSun" w:hAnsi="SimSun" w:eastAsia="SimSun" w:cs="SimSun"/>
          <w:b/>
          <w:color w:val="000000" w:themeColor="text1"/>
          <w:sz w:val="21"/>
        </w:rPr>
        <w:t xml:space="preserve">自20 年 月 日起至20 年 月 日结束。</w:t>
      </w:r>
      <w:r>
        <w:rPr>
          <w:color w:val="000000" w:themeColor="text1"/>
        </w:rPr>
      </w:r>
      <w:r/>
    </w:p>
    <w:p>
      <w:pPr>
        <w:ind w:left="0" w:right="0" w:firstLine="423"/>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1"/>
        </w:rPr>
        <w:t xml:space="preserve">3、下列文件为本合同不可分割部分：</w:t>
      </w:r>
      <w:r>
        <w:rPr>
          <w:color w:val="000000" w:themeColor="text1"/>
        </w:rPr>
      </w: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（1）成交通知书；</w:t>
      </w:r>
      <w:r>
        <w:rPr>
          <w:color w:val="000000" w:themeColor="text1"/>
        </w:rPr>
      </w: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（2）乙方的响应文件；</w:t>
      </w:r>
      <w:r>
        <w:rPr>
          <w:color w:val="000000" w:themeColor="text1"/>
        </w:rPr>
      </w: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（3）乙方在招投标过程中所作的其它承诺、声明、书面澄清等；</w:t>
      </w:r>
      <w:r>
        <w:rPr>
          <w:color w:val="000000" w:themeColor="text1"/>
        </w:rPr>
      </w: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（4）磋商采购文件及其附件；</w:t>
      </w:r>
      <w:r>
        <w:rPr>
          <w:color w:val="000000" w:themeColor="text1"/>
        </w:rPr>
      </w: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（5）合同附件。</w:t>
      </w:r>
      <w:r>
        <w:rPr>
          <w:color w:val="000000" w:themeColor="text1"/>
        </w:rPr>
      </w: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以上与本合同具有同等法律效力</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4、甲方聘用乙方统一着装服务人员</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名。</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乙方承担作业船只的使用费用包括油费、辅助工具（抽水管、篙子、绳子）和日常养护等，所有打捞船只机械和船体大保养每年不少于1次（每年3月31日前完成），如采购单位在合同履行期内另有增加船只一并包含在内，费用不另计。</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6、乙方承担蓝藻分离车的使用费用，包括电费、日常养护费、辅助材料费（水泵、水管等）。设备维修和藻水分离药剂费用由采购单位承担。</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7、项目负责人：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身份证号码：）</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8、专职安全员：</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身份证号码：）</w:t>
      </w:r>
      <w:r>
        <w:rPr>
          <w:color w:val="000000" w:themeColor="text1"/>
        </w:rPr>
      </w:r>
      <w:r/>
    </w:p>
    <w:p>
      <w:pPr>
        <w:ind w:left="0" w:right="0" w:firstLine="47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二、合同金额及付款方式：</w:t>
      </w:r>
      <w:r>
        <w:rPr>
          <w:color w:val="000000" w:themeColor="text1"/>
        </w:rPr>
      </w:r>
      <w:r/>
    </w:p>
    <w:p>
      <w:pPr>
        <w:ind w:left="0" w:right="0" w:firstLine="46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1、合同金额：</w:t>
      </w:r>
      <w:r>
        <w:rPr>
          <w:rFonts w:ascii="SimSun" w:hAnsi="SimSun" w:eastAsia="SimSun" w:cs="SimSun"/>
          <w:color w:val="000000" w:themeColor="text1"/>
          <w:sz w:val="21"/>
          <w:u w:val="single"/>
        </w:rPr>
        <w:t xml:space="preserve">人民币（¥    ）</w:t>
      </w:r>
      <w:r>
        <w:rPr>
          <w:rFonts w:ascii="SimSun" w:hAnsi="SimSun" w:eastAsia="SimSun" w:cs="SimSun"/>
          <w:color w:val="000000" w:themeColor="text1"/>
          <w:sz w:val="21"/>
        </w:rPr>
        <w:t xml:space="preserve">。合同价包括在承包期内完成合同约定的全部服务所需要的船只的使用费用（折旧、维保费、油费等），人工费（包括人员工资、社保、保险等），所需机械设备及工具、器具等的使用费、以及在服务过程中发生的一切费用、耗材、各种税费及政策性文件规定及合同包含的所有风险、责任等各项应有费用。</w:t>
      </w:r>
      <w:r>
        <w:rPr>
          <w:color w:val="000000" w:themeColor="text1"/>
        </w:rPr>
      </w:r>
      <w:r/>
    </w:p>
    <w:p>
      <w:pPr>
        <w:ind w:left="0" w:right="0" w:firstLine="50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2、付款方式：</w:t>
      </w:r>
      <w:r>
        <w:rPr>
          <w:rFonts w:ascii="SimSun" w:hAnsi="SimSun" w:eastAsia="SimSun" w:cs="SimSun"/>
          <w:b/>
          <w:color w:val="000000" w:themeColor="text1"/>
          <w:sz w:val="21"/>
        </w:rPr>
        <w:t xml:space="preserve">当季服务经费次季支付，季度考核成绩达到95分标准的，服务经费全额拨付，未达到标准的，相应按比例扣除当月服务费用（如成绩每降低一分，扣减服务经费的1%，考核表见合同内附件：通安镇蓝藻水草打捞考核表）。</w:t>
      </w:r>
      <w:r>
        <w:rPr>
          <w:color w:val="000000" w:themeColor="text1"/>
        </w:rPr>
      </w:r>
      <w:r/>
    </w:p>
    <w:p>
      <w:pPr>
        <w:ind w:left="0" w:right="0" w:firstLine="50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3、在首次付款前，乙方应提供其为本项目服务人员购买的意外伤害险保单等，未提供或提供不全者不予支付。</w:t>
      </w:r>
      <w:r>
        <w:rPr>
          <w:color w:val="000000" w:themeColor="text1"/>
        </w:rPr>
      </w:r>
      <w:r/>
    </w:p>
    <w:p>
      <w:pPr>
        <w:ind w:left="0" w:right="0" w:firstLine="50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下季度乙方根据甲方对上季度的考核得出实际支付金额开具符合国家规定的票据。</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三、打捞要求：</w:t>
      </w:r>
      <w:r>
        <w:rPr>
          <w:rFonts w:ascii="SimSun" w:hAnsi="SimSun" w:eastAsia="SimSun" w:cs="SimSun"/>
          <w:color w:val="000000" w:themeColor="text1"/>
          <w:sz w:val="21"/>
        </w:rPr>
        <w:t xml:space="preserve">见附件1《</w:t>
      </w:r>
      <w:r>
        <w:rPr>
          <w:rFonts w:ascii="SimSun" w:hAnsi="SimSun" w:eastAsia="SimSun" w:cs="SimSun"/>
          <w:b/>
          <w:color w:val="000000" w:themeColor="text1"/>
          <w:sz w:val="21"/>
        </w:rPr>
        <w:t xml:space="preserve">蓝藻打捞技术标准</w:t>
      </w:r>
      <w:r>
        <w:rPr>
          <w:rFonts w:ascii="SimSun" w:hAnsi="SimSun" w:eastAsia="SimSun" w:cs="SimSun"/>
          <w:color w:val="000000" w:themeColor="text1"/>
          <w:sz w:val="21"/>
        </w:rPr>
        <w:t xml:space="preserve">》。</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四、打捞考核标准：</w:t>
      </w:r>
      <w:r>
        <w:rPr>
          <w:rFonts w:ascii="SimSun" w:hAnsi="SimSun" w:eastAsia="SimSun" w:cs="SimSun"/>
          <w:color w:val="000000" w:themeColor="text1"/>
          <w:sz w:val="21"/>
        </w:rPr>
        <w:t xml:space="preserve">见附件2《</w:t>
      </w:r>
      <w:r>
        <w:rPr>
          <w:rFonts w:ascii="SimSun" w:hAnsi="SimSun" w:eastAsia="SimSun" w:cs="SimSun"/>
          <w:b/>
          <w:color w:val="000000" w:themeColor="text1"/>
          <w:sz w:val="21"/>
        </w:rPr>
        <w:t xml:space="preserve">通安镇蓝藻水草打捞考核表</w:t>
      </w:r>
      <w:r>
        <w:rPr>
          <w:rFonts w:ascii="SimSun" w:hAnsi="SimSun" w:eastAsia="SimSun" w:cs="SimSun"/>
          <w:color w:val="000000" w:themeColor="text1"/>
          <w:sz w:val="21"/>
        </w:rPr>
        <w:t xml:space="preserve">》。</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五、其它</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1、乙方除应为服务工人提供必要的劳动保护条件外，还应为其办理作业时的人身安全保险和意外伤害险。一切安全责任事故均由乙方负责（保险种类由乙方自行选择）。</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2、乙方应做好职工的安全生产教育，并配备一定的劳动保护必需品以供职工使用。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3、乙方应根据甲方要求提供社保证明、保险单据证明，从进场服务起一个月内提供本项目服务人员的电子信息（姓名、性别、年龄、身份证号、社保号），及服务人员的身份证社保证复印件。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4、若甲方查到乙方提供的人员信息不符（含社保），甲方有权扣除当月该人员费用（含社保费用或保险费用）；若虚假情节严重，甲方有权终止合同，扣除乙方履约保证金，清退出场。</w:t>
      </w:r>
      <w:r>
        <w:rPr>
          <w:color w:val="000000" w:themeColor="text1"/>
        </w:rPr>
      </w: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5、履约验收：按照《江苏省政府采购履约验收管理办法》规定执行。</w:t>
      </w:r>
      <w:r>
        <w:rPr>
          <w:color w:val="000000" w:themeColor="text1"/>
        </w:rPr>
      </w: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六、合同的生效</w:t>
      </w:r>
      <w:r>
        <w:rPr>
          <w:color w:val="000000" w:themeColor="text1"/>
        </w:rPr>
      </w:r>
      <w:r/>
    </w:p>
    <w:p>
      <w:pPr>
        <w:ind w:left="0" w:right="0" w:firstLine="42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本合同经招标代理机构加盖骑缝章，甲乙双方签字盖章后生效，并在合同签订之日起2个工作日内进行政府采购合同公告。本合同之附件均为合同有效组成部分，与本合同具有同等法律效力。</w:t>
      </w:r>
      <w:r>
        <w:rPr>
          <w:color w:val="000000" w:themeColor="text1"/>
        </w:rPr>
      </w:r>
      <w:r/>
    </w:p>
    <w:p>
      <w:pPr>
        <w:ind w:left="0" w:right="-159"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七、争议解决</w:t>
      </w:r>
      <w:r>
        <w:rPr>
          <w:color w:val="000000" w:themeColor="text1"/>
        </w:rPr>
      </w:r>
      <w:r/>
    </w:p>
    <w:p>
      <w:pPr>
        <w:ind w:left="0" w:right="-159" w:firstLine="42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甲乙双方因合同发生争议，应在采购代理机构的主持下进行调解，协商不成，任何一方可以向甲方所在地人民法院起诉。</w:t>
      </w:r>
      <w:r>
        <w:rPr>
          <w:color w:val="000000" w:themeColor="text1"/>
        </w:rPr>
      </w: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八、附则</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1、合同份数：本合同一式六份，甲乙双方各执二份，采购代理机构一份，政府采购管理部门一份。</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2、未尽事宜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本合同未尽事宜应按《中华人民共和国民法典》、《中华人民共和国政府采购法》以及其同相关法律、法规之规定解释。</w:t>
      </w:r>
      <w:r>
        <w:rPr>
          <w:color w:val="000000" w:themeColor="text1"/>
        </w:rPr>
      </w:r>
      <w:r/>
    </w:p>
    <w:p>
      <w:pPr>
        <w:ind w:left="425" w:right="0" w:hanging="425"/>
        <w:jc w:val="both"/>
        <w:spacing w:before="0" w:after="0" w:line="85" w:lineRule="atLeast"/>
        <w:tabs>
          <w:tab w:val="left" w:pos="42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6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甲方(签章)：                                   乙方（签章）：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6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法人代表或其法人代表或其</w:t>
      </w:r>
      <w:r>
        <w:rPr>
          <w:color w:val="000000" w:themeColor="text1"/>
        </w:rPr>
      </w:r>
      <w:r/>
    </w:p>
    <w:p>
      <w:pPr>
        <w:ind w:left="0" w:right="0" w:firstLine="6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授权代理人（签字或盖章）授权代理人（签字或盖章）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105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年月日年月日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附件1：蓝藻水草技术标准</w:t>
      </w:r>
      <w:r>
        <w:rPr>
          <w:color w:val="000000" w:themeColor="text1"/>
        </w:rPr>
      </w:r>
      <w:r/>
    </w:p>
    <w:p>
      <w:pPr>
        <w:ind w:left="0" w:right="0" w:firstLine="426"/>
        <w:jc w:val="both"/>
        <w:spacing w:before="0" w:after="0" w:line="85" w:lineRule="atLeast"/>
        <w:tabs>
          <w:tab w:val="left" w:pos="7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一、蓝藻打捞标准</w:t>
      </w:r>
      <w:r>
        <w:rPr>
          <w:color w:val="000000" w:themeColor="text1"/>
        </w:rPr>
      </w:r>
      <w:r/>
    </w:p>
    <w:p>
      <w:pPr>
        <w:ind w:left="0" w:right="0" w:firstLine="426"/>
        <w:jc w:val="both"/>
        <w:spacing w:before="0" w:after="0" w:line="85" w:lineRule="atLeast"/>
        <w:tabs>
          <w:tab w:val="left" w:pos="7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1、服从安排，确保定点定船蓝藻打捞执行到位；</w:t>
      </w:r>
      <w:r>
        <w:rPr>
          <w:color w:val="000000" w:themeColor="text1"/>
        </w:rPr>
      </w:r>
      <w:r/>
    </w:p>
    <w:p>
      <w:pPr>
        <w:ind w:left="0" w:right="0" w:firstLine="426"/>
        <w:jc w:val="both"/>
        <w:spacing w:before="0" w:after="0" w:line="85" w:lineRule="atLeast"/>
        <w:tabs>
          <w:tab w:val="left" w:pos="7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2、根据船只吨位数，每天必须保证完成甲方规定的打捞量；</w:t>
      </w:r>
      <w:r>
        <w:rPr>
          <w:color w:val="000000" w:themeColor="text1"/>
        </w:rPr>
      </w:r>
      <w:r/>
    </w:p>
    <w:p>
      <w:pPr>
        <w:ind w:left="0" w:right="0" w:firstLine="420"/>
        <w:jc w:val="both"/>
        <w:spacing w:before="0" w:after="0" w:line="85" w:lineRule="atLeast"/>
        <w:tabs>
          <w:tab w:val="left" w:pos="7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3、发现由于消极怠工情况，当天打捞船只不计费用；</w:t>
      </w:r>
      <w:r>
        <w:rPr>
          <w:color w:val="000000" w:themeColor="text1"/>
        </w:rPr>
      </w:r>
      <w:r/>
    </w:p>
    <w:p>
      <w:pPr>
        <w:ind w:left="0" w:right="0" w:firstLine="426"/>
        <w:jc w:val="both"/>
        <w:spacing w:before="0" w:after="0" w:line="85" w:lineRule="atLeast"/>
        <w:tabs>
          <w:tab w:val="left" w:pos="7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4、每个蓝藻打捞点在条件允许情况下，须采用围网等工具将蓝藻集中后打捞；</w:t>
      </w:r>
      <w:r>
        <w:rPr>
          <w:color w:val="000000" w:themeColor="text1"/>
        </w:rPr>
      </w:r>
      <w:r/>
    </w:p>
    <w:p>
      <w:pPr>
        <w:ind w:left="0" w:right="0" w:firstLine="426"/>
        <w:jc w:val="both"/>
        <w:spacing w:before="0" w:after="0" w:line="85" w:lineRule="atLeast"/>
        <w:tabs>
          <w:tab w:val="left" w:pos="7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5、打捞的蓝藻，应根据要求，规范进行处理，及时转运至大型运输船，并协助蓝藻处置船开展工作；</w:t>
      </w:r>
      <w:r>
        <w:rPr>
          <w:color w:val="000000" w:themeColor="text1"/>
        </w:rPr>
      </w:r>
      <w:r/>
    </w:p>
    <w:p>
      <w:pPr>
        <w:ind w:left="0" w:right="0" w:firstLine="426"/>
        <w:jc w:val="both"/>
        <w:spacing w:before="0" w:after="0" w:line="85" w:lineRule="atLeast"/>
        <w:tabs>
          <w:tab w:val="left" w:pos="7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6、及时清运产生的藻泥，运至指定地方。</w:t>
      </w:r>
      <w:r>
        <w:rPr>
          <w:color w:val="000000" w:themeColor="text1"/>
        </w:rPr>
      </w:r>
      <w:r/>
    </w:p>
    <w:p>
      <w:pPr>
        <w:ind w:left="420" w:right="0" w:firstLine="31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二、打捞作业时间</w:t>
      </w:r>
      <w:r>
        <w:rPr>
          <w:color w:val="000000" w:themeColor="text1"/>
        </w:rPr>
      </w:r>
      <w:r/>
    </w:p>
    <w:p>
      <w:pPr>
        <w:ind w:left="0" w:right="21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1、作业时间：打捞时间：上午7：00——11：00，下午13：00——17：00；</w:t>
      </w:r>
      <w:r>
        <w:rPr>
          <w:color w:val="000000" w:themeColor="text1"/>
        </w:rPr>
      </w: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2、全天作业时间内不间断工作；</w:t>
      </w:r>
      <w:r>
        <w:rPr>
          <w:color w:val="000000" w:themeColor="text1"/>
        </w:rPr>
      </w:r>
      <w:r/>
    </w:p>
    <w:p>
      <w:pPr>
        <w:ind w:left="0" w:right="0" w:firstLine="42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3、若重大活动或特殊事件，供应商应无条件服从甲方对服务时间的调整；</w:t>
      </w:r>
      <w:r>
        <w:rPr>
          <w:color w:val="000000" w:themeColor="text1"/>
        </w:rPr>
      </w:r>
      <w:r/>
    </w:p>
    <w:p>
      <w:pPr>
        <w:pStyle w:val="745"/>
        <w:ind w:left="0" w:right="0" w:firstLine="0"/>
        <w:spacing w:before="0" w:after="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pStyle w:val="745"/>
        <w:ind w:left="0" w:right="0" w:firstLine="0"/>
        <w:spacing w:before="0" w:after="0" w:line="55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tabs>
          <w:tab w:val="left" w:pos="4201" w:leader="none"/>
          <w:tab w:val="left" w:pos="9298"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p>
    <w:p>
      <w:pPr>
        <w:ind w:left="0" w:right="0" w:firstLine="420"/>
        <w:spacing w:before="210" w:after="210" w:line="262"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p>
    <w:p>
      <w:pPr>
        <w:ind w:left="0" w:right="0" w:firstLine="0"/>
        <w:jc w:val="both"/>
        <w:spacing w:before="0" w:after="0"/>
        <w:tabs>
          <w:tab w:val="left" w:pos="525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附件2：通安镇蓝藻水草打捞考核表</w:t>
      </w:r>
      <w:r>
        <w:rPr>
          <w:color w:val="000000" w:themeColor="text1"/>
        </w:rPr>
      </w:r>
      <w:r/>
    </w:p>
    <w:tbl>
      <w:tblPr>
        <w:tblStyle w:val="776"/>
        <w:tblW w:w="0" w:type="auto"/>
        <w:tblInd w:w="-102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50"/>
        <w:gridCol w:w="2268"/>
        <w:gridCol w:w="992"/>
        <w:gridCol w:w="4110"/>
        <w:gridCol w:w="925"/>
        <w:gridCol w:w="67"/>
        <w:gridCol w:w="1276"/>
        <w:gridCol w:w="408"/>
      </w:tblGrid>
      <w:tr>
        <w:trPr>
          <w:gridAfter w:val="1"/>
          <w:trHeight w:val="57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1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被考核单位：</w:t>
            </w:r>
            <w:r/>
          </w:p>
        </w:tc>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考核日期：        年  月  日</w:t>
            </w:r>
            <w:r/>
          </w:p>
        </w:tc>
      </w:tr>
      <w:tr>
        <w:trPr>
          <w:gridAfter w:val="1"/>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考核办法</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扣分原因</w:t>
            </w:r>
            <w:r/>
          </w:p>
        </w:tc>
      </w:tr>
      <w:tr>
        <w:trPr>
          <w:gridAfter w:val="1"/>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一、组织管理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1、组织管理制度落实，基础台账资料齐全，长效管理制度和具体措施落实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1、组织管理网络建立完备2分；</w:t>
            </w:r>
            <w:r>
              <w:rPr>
                <w:sz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2、规章制度及措施完善2分；</w:t>
            </w:r>
            <w:r>
              <w:rPr>
                <w:sz w:val="21"/>
                <w:szCs w:val="21"/>
              </w:rPr>
            </w: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3、台账资料齐全2分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gridAfter w:val="1"/>
          <w:trHeight w:val="139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2、人员队伍素质合格，分工明确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1、人员合规，身体健康，会游泳2分；</w:t>
            </w:r>
            <w:r>
              <w:rPr>
                <w:rFonts w:ascii="SimSun" w:hAnsi="SimSun" w:eastAsia="SimSun" w:cs="SimSun"/>
                <w:color w:val="000000"/>
                <w:sz w:val="21"/>
                <w:szCs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2、作业人员经过操作技能及安全知识相关培训2分；</w:t>
            </w:r>
            <w:r>
              <w:rPr>
                <w:rFonts w:ascii="SimSun" w:hAnsi="SimSun" w:eastAsia="SimSun" w:cs="SimSun"/>
                <w:color w:val="000000"/>
                <w:sz w:val="21"/>
                <w:szCs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3、人员分工明确，各司其职2分</w:t>
            </w:r>
            <w:r>
              <w:rPr>
                <w:rFonts w:ascii="SimSun" w:hAnsi="SimSun" w:eastAsia="SimSun" w:cs="SimSun"/>
                <w:color w:val="000000"/>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gridAfter w:val="1"/>
          <w:trHeight w:val="17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3、文明上岗，安全保障措施到位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1、全体人员持证上岗2分；</w:t>
            </w:r>
            <w:r>
              <w:rPr>
                <w:rFonts w:ascii="SimSun" w:hAnsi="SimSun" w:eastAsia="SimSun" w:cs="SimSun"/>
                <w:color w:val="000000"/>
                <w:sz w:val="21"/>
                <w:szCs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2、打捞人员统一着装和穿戴救生衣2分；</w:t>
            </w:r>
            <w:r>
              <w:rPr>
                <w:rFonts w:ascii="SimSun" w:hAnsi="SimSun" w:eastAsia="SimSun" w:cs="SimSun"/>
                <w:color w:val="000000"/>
                <w:sz w:val="21"/>
                <w:szCs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3、作业船只备齐救生圈等救生设施2分；</w:t>
            </w:r>
            <w:r>
              <w:rPr>
                <w:rFonts w:ascii="SimSun" w:hAnsi="SimSun" w:eastAsia="SimSun" w:cs="SimSun"/>
                <w:color w:val="000000"/>
                <w:sz w:val="21"/>
                <w:szCs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4、为全体人员购买人身意外伤害险2分</w:t>
            </w:r>
            <w:r>
              <w:rPr>
                <w:rFonts w:ascii="SimSun" w:hAnsi="SimSun" w:eastAsia="SimSun" w:cs="SimSun"/>
                <w:color w:val="000000"/>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gridAfter w:val="1"/>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二、蓝藻打捞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1、蓝藻巡查，按蓝藻发生情况上报，及时安排打捞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1、每日不少于2次巡查6分； </w:t>
            </w:r>
            <w:r>
              <w:rPr>
                <w:sz w:val="21"/>
              </w:rPr>
            </w: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2、记录蓝藻发生情况，存档后上报4分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spacing w:before="0" w:after="0" w:line="57" w:lineRule="atLeast"/>
            </w:pPr>
            <w:r/>
            <w:r/>
          </w:p>
        </w:tc>
      </w:tr>
      <w:tr>
        <w:trPr>
          <w:gridAfter w:val="1"/>
          <w:trHeight w:val="14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2、根据蓝藻巡查情况，安排打捞，日产日清，保持水面清洁，无大面积蓝藻聚集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1、根据蓝藻发生情况，组织打捞5分；</w:t>
            </w:r>
            <w:r>
              <w:rPr>
                <w:sz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2、蓝藻日产日清，各区域水面清洁无大面积聚集20分，发现蓝藻聚集并无充足人员打捞的，每处扣5分，扣完为止；</w:t>
            </w:r>
            <w:r>
              <w:rPr>
                <w:sz w:val="21"/>
                <w:szCs w:val="21"/>
              </w:rPr>
            </w: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3、做好打捞记录并每日上报打捞情况5分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spacing w:before="0" w:after="0" w:line="57" w:lineRule="atLeast"/>
            </w:pPr>
            <w:r/>
            <w:r/>
          </w:p>
        </w:tc>
      </w:tr>
      <w:tr>
        <w:trPr>
          <w:gridAfter w:val="1"/>
          <w:trHeight w:val="76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3、蓝藻储运及无害化处理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1、收集蓝藻不随意排放，集中储运10分；    </w:t>
            </w:r>
            <w:r>
              <w:rPr>
                <w:sz w:val="21"/>
              </w:rPr>
            </w: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2、进行无害化处理，未有二次污染10分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spacing w:before="0" w:after="0" w:line="57" w:lineRule="atLeast"/>
            </w:pPr>
            <w:r/>
            <w:r/>
          </w:p>
        </w:tc>
      </w:tr>
      <w:tr>
        <w:trPr>
          <w:gridAfter w:val="1"/>
          <w:trHeight w:val="10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4、定期对蓝藻打捞、储运设施设备进行保养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1、作业船只、设备工具状况良好，整理整洁5分；</w:t>
            </w:r>
            <w:r>
              <w:rPr>
                <w:sz w:val="21"/>
              </w:rPr>
            </w: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2、机械设备、设施按要求定期养护5分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gridAfter w:val="1"/>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三、社会影响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居民群众满意、未有安全事故及媒体曝光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1、群众满意，未发生居民举报5分；  </w:t>
            </w:r>
            <w:r>
              <w:rPr>
                <w:sz w:val="21"/>
              </w:rPr>
            </w: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2、未发生重大安全事故或媒体曝光等5分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spacing w:before="0" w:after="0" w:line="57" w:lineRule="atLeast"/>
            </w:pPr>
            <w:r/>
            <w:r/>
          </w:p>
        </w:tc>
      </w:tr>
      <w:tr>
        <w:trPr>
          <w:gridAfter w:val="1"/>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0"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spacing w:before="0" w:after="0" w:line="57" w:lineRule="atLeast"/>
            </w:pPr>
            <w:r/>
            <w:r/>
          </w:p>
        </w:tc>
      </w:tr>
      <w:tr>
        <w:trPr>
          <w:gridAfter w:val="1"/>
          <w:trHeight w:val="7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8"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1、有区级以上通报整改的，每个另扣10分；2、有镇级以上平台巡查整改的，每个另扣5分；3、考核结果达到95分及以上的，作业经费全额拨付，未达到标准的，相应按比例扣除作业经费（考核分每降低一分，相应扣减作业经费的1%）。                                                                                     </w:t>
            </w:r>
            <w:r/>
          </w:p>
        </w:tc>
      </w:tr>
      <w:tr>
        <w:trPr>
          <w:trHeight w:val="8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5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考核人员：</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0" w:type="dxa"/>
            <w:vAlign w:val="center"/>
            <w:textDirection w:val="lrTb"/>
            <w:noWrap/>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10" w:type="dxa"/>
            <w:vAlign w:val="center"/>
            <w:textDirection w:val="lrTb"/>
            <w:noWrap/>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5" w:type="dxa"/>
            <w:vAlign w:val="center"/>
            <w:textDirection w:val="lrTb"/>
            <w:noWrap/>
          </w:tcPr>
          <w:p>
            <w:pPr>
              <w:spacing w:before="0" w:after="0" w:line="57" w:lineRule="atLeast"/>
            </w:pPr>
            <w:r/>
            <w:r/>
          </w:p>
        </w:tc>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1" w:type="dxa"/>
            <w:vAlign w:val="center"/>
            <w:textDirection w:val="lrTb"/>
            <w:noWrap/>
          </w:tcPr>
          <w:p>
            <w:pPr>
              <w:spacing w:before="0" w:after="0" w:line="57" w:lineRule="atLeast"/>
            </w:p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center"/>
        <w:spacing w:before="0" w:after="312" w:line="480" w:lineRule="atLeast"/>
        <w:tabs>
          <w:tab w:val="left" w:pos="315" w:leader="none"/>
          <w:tab w:val="left" w:pos="720" w:leader="none"/>
          <w:tab w:val="left" w:pos="4153" w:leader="none"/>
        </w:tabs>
        <w:rPr>
          <w:rFonts w:ascii="SimSun" w:hAnsi="SimSun" w:eastAsia="SimSun" w:cs="SimSun"/>
          <w:b/>
          <w:bCs/>
          <w:color w:val="000000" w:themeColor="text1"/>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第六章、评审办法及评分标准</w:t>
      </w:r>
      <w:r>
        <w:rPr>
          <w:color w:val="000000" w:themeColor="text1"/>
        </w:rPr>
      </w:r>
      <w:r/>
    </w:p>
    <w:p>
      <w:pPr>
        <w:ind w:left="0" w:right="0" w:firstLine="0"/>
        <w:spacing w:before="240" w:after="240" w:line="85" w:lineRule="atLeast"/>
        <w:tabs>
          <w:tab w:val="left" w:pos="709" w:leader="none"/>
          <w:tab w:val="left" w:pos="99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一、评审办法</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1.本次磋商评标采用综合评分法，综合评分法是指磋商响应文件满足采购文件全部实质性要求，且按照评审因素的量化指标评审得分最高的磋商响应单位为成交单位的评审方法。</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采用综合评分法的，评审结果按评审后得分由高到低顺序排列。得分相同的，按磋商报价由低到高顺序排列，以实际磋商报价较低的优先作为成交单位；得分且实际磋商报价相同的，则由采购人以抽签方式确定成交单位。</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4.针对中小型企业的评审：</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响应单位给予评审优惠：</w:t>
      </w:r>
      <w:r>
        <w:rPr>
          <w:color w:val="000000" w:themeColor="text1"/>
        </w:rPr>
      </w:r>
      <w:r/>
    </w:p>
    <w:p>
      <w:pPr>
        <w:numPr>
          <w:ilvl w:val="0"/>
          <w:numId w:val="9"/>
        </w:numPr>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在服务采购项目中，服务由小型或微型企业承接，即提供服务的人员为按照《中华人民共和国民法典》订立劳动合同的从业人员，对其报价给予20%的扣除，扣除后的价格参与价格评审。</w:t>
      </w:r>
      <w:r>
        <w:rPr>
          <w:color w:val="000000" w:themeColor="text1"/>
        </w:rPr>
      </w:r>
      <w:r/>
    </w:p>
    <w:p>
      <w:pPr>
        <w:ind w:left="0" w:right="0" w:firstLine="42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注：服务类项目中供应商若使用退休人员，将不享受小微企业价格扣除优惠政策。</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（3）以联合体形式参加政府采购活动，联合体各方均为小微企业的，联合体视同小微企业。</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（4）中小微企业在磋商响应文件中提供签署的《中小企业声明函》。未按采购文件的规定在磋商响应文件中提供《中小企业声明函》的，不享受促进中小微企业发展的相关政府采购政策。</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（5）中小企业划分标准详见“工信部联企业〔2011〕300号通知”</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（6）以上规定未尽事项，按《政府采购促进中小企业发展管理办法》、《苏州市政府采购促进中小企业发展实施意见》等有关制度规定执行。</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w:t>
      </w:r>
      <w:r>
        <w:rPr>
          <w:rFonts w:ascii="SimSun" w:hAnsi="SimSun" w:eastAsia="SimSun" w:cs="SimSun"/>
          <w:color w:val="000000" w:themeColor="text1"/>
          <w:sz w:val="21"/>
        </w:rPr>
        <w:t xml:space="preserve">①填报“中小企业声明函”需严格按“工信部联企业〔2011〕300号通知”中的《中小企业划型标准规定》进行。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②若响应单位提供的 “中小企业声明函”（见第三章 响应文件格式）为虚假声明则视同提供虚假材料，按“政府采购法”相关规定处理并报请政府监管部门给予行政处罚。</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③专门面向中小企业采购的项目或者采购包，不再执行价格评审优惠的扶持政策。</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5.针对残疾人福利性单位的评审加分：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根据《关于促进残疾人就业政府采购政策的通知》（</w:t>
      </w:r>
      <w:r>
        <w:rPr>
          <w:rFonts w:ascii="SimSun" w:hAnsi="SimSun" w:eastAsia="SimSun" w:cs="SimSun"/>
          <w:color w:val="000000" w:themeColor="text1"/>
          <w:sz w:val="21"/>
          <w:u w:val="none"/>
        </w:rPr>
        <w:t xml:space="preserve">财库〔</w:t>
      </w:r>
      <w:r>
        <w:rPr>
          <w:rFonts w:ascii="SimSun" w:hAnsi="SimSun" w:eastAsia="SimSun" w:cs="SimSun"/>
          <w:color w:val="000000" w:themeColor="text1"/>
          <w:sz w:val="21"/>
        </w:rPr>
        <w:t xml:space="preserve">2017〕141号）的通知规定，对属于残疾人福利性单位的响应单位给予评审加分：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符合规定条件的残疾人福利性单位在参加磋商时，应当提供《残疾人福利性单位声明函》（见第三章 响应文件格式），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6.针对监狱企业的评审加分：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根据《关于政府采购支持监狱企业发展有关问题的通知》（财库〔2014〕68号）的通知规定，对属于监狱企业的响应单位给予评审加分：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监狱企业视同小型、微型企业，享受评审中价格扣除等政府采购促进中小企业发展的政府采购政策。</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符合条件的监狱企业参加磋商时，应当提供由省级以上监狱管理局、戒毒管理局（含新疆生产建设兵团）出具的属于监狱企业的证明文件。</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注：上述优惠政策不重复享受。</w:t>
      </w:r>
      <w:r>
        <w:rPr>
          <w:color w:val="000000" w:themeColor="text1"/>
        </w:rPr>
      </w:r>
      <w:r/>
    </w:p>
    <w:p>
      <w:pPr>
        <w:ind w:left="0" w:right="0" w:firstLine="0"/>
        <w:spacing w:before="240" w:after="240" w:line="85" w:lineRule="atLeast"/>
        <w:tabs>
          <w:tab w:val="left" w:pos="709" w:leader="none"/>
          <w:tab w:val="left" w:pos="99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二、评分标准</w:t>
      </w:r>
      <w:r>
        <w:rPr>
          <w:color w:val="000000" w:themeColor="text1"/>
        </w:rPr>
      </w:r>
      <w:r/>
    </w:p>
    <w:p>
      <w:pPr>
        <w:ind w:left="0" w:right="0" w:firstLine="420"/>
        <w:jc w:val="both"/>
        <w:spacing w:before="0" w:after="0" w:line="85" w:lineRule="atLeast"/>
        <w:tabs>
          <w:tab w:val="left" w:pos="709" w:leader="none"/>
          <w:tab w:val="left" w:pos="99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总分值为100分，评审因素及各比重如下：价格分值占总分值的比重为15%（权重），技术与方案及其它占85%（权重）。</w:t>
      </w:r>
      <w:r>
        <w:rPr>
          <w:color w:val="000000" w:themeColor="text1"/>
        </w:rPr>
      </w:r>
      <w:r/>
    </w:p>
    <w:p>
      <w:pPr>
        <w:ind w:left="0" w:right="0" w:firstLine="0"/>
        <w:jc w:val="both"/>
        <w:spacing w:before="0" w:after="0" w:line="85" w:lineRule="atLeast"/>
        <w:tabs>
          <w:tab w:val="left" w:pos="900" w:leader="none"/>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（一）报价得分（15分）</w:t>
      </w:r>
      <w:r>
        <w:rPr>
          <w:color w:val="000000" w:themeColor="text1"/>
        </w:rPr>
      </w:r>
      <w:r/>
    </w:p>
    <w:p>
      <w:pPr>
        <w:ind w:left="0" w:right="0" w:firstLine="420"/>
        <w:jc w:val="both"/>
        <w:spacing w:before="0" w:after="0" w:line="85" w:lineRule="atLeast"/>
        <w:tabs>
          <w:tab w:val="left" w:pos="28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评定内容包括报价范围是否完整，有否重大错漏项，如果某磋商单位的磋商报价中有漏项，则该磋商单位的磋商价格评审时需加上漏项部分，漏项部分的价格按所有参加磋商的供应商中相应部分所报的最高价格计算，如果该磋商单位成交，则其成交总价不能调整，漏项部分的价格需该磋商单位自行消化，如漏项构成未实质性响应磋商文件要求的，将不得成交。</w:t>
      </w:r>
      <w:r>
        <w:rPr>
          <w:color w:val="000000" w:themeColor="text1"/>
        </w:rPr>
      </w:r>
      <w:r/>
    </w:p>
    <w:p>
      <w:pPr>
        <w:ind w:left="0" w:right="0" w:firstLine="420"/>
        <w:jc w:val="both"/>
        <w:spacing w:before="0" w:after="0" w:line="85" w:lineRule="atLeast"/>
        <w:tabs>
          <w:tab w:val="left" w:pos="28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 磋商报价优惠率高于100%的为无效磋商报价。无效磋商报价的磋商文件不进行评审，也不得成交。</w:t>
      </w:r>
      <w:r>
        <w:rPr>
          <w:color w:val="000000" w:themeColor="text1"/>
        </w:rPr>
      </w:r>
      <w:r/>
    </w:p>
    <w:p>
      <w:pPr>
        <w:ind w:left="0" w:right="0" w:firstLine="420"/>
        <w:jc w:val="both"/>
        <w:spacing w:before="0" w:after="0" w:line="85" w:lineRule="atLeast"/>
        <w:tabs>
          <w:tab w:val="left" w:pos="28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3.价格分统一采用低价优先法计算，即满足采购文件要求且在所有有效响应报价（二次报价）中选择报价最低的（即100%-最高的报价优惠率）确定为磋商基准价（如响应单位为小型和微型企业的，其价格给予</w:t>
      </w:r>
      <w:r>
        <w:rPr>
          <w:rFonts w:ascii="Times New Roman" w:hAnsi="Times New Roman" w:eastAsia="Times New Roman" w:cs="Times New Roman"/>
          <w:color w:val="000000" w:themeColor="text1"/>
          <w:sz w:val="21"/>
        </w:rPr>
        <w:t xml:space="preserve">20%</w:t>
      </w:r>
      <w:r>
        <w:rPr>
          <w:rFonts w:ascii="SimSun" w:hAnsi="SimSun" w:eastAsia="SimSun" w:cs="SimSun"/>
          <w:color w:val="000000" w:themeColor="text1"/>
          <w:sz w:val="21"/>
        </w:rPr>
        <w:t xml:space="preserve">的扣除，用扣除后的价格参与评审，如扣除后的价格为最低价的，则作为评标基准价，成交价格则以实际磋商报价为准。），其他响应单位的价格分按照下列公式计算（计算结果四舍五入保留两位小数）：</w:t>
      </w:r>
      <w:r>
        <w:rPr>
          <w:color w:val="000000" w:themeColor="text1"/>
        </w:rPr>
      </w:r>
      <w:r/>
    </w:p>
    <w:p>
      <w:pPr>
        <w:ind w:left="0" w:right="0" w:firstLine="420"/>
        <w:jc w:val="both"/>
        <w:spacing w:before="0" w:after="0" w:line="85" w:lineRule="atLeast"/>
        <w:tabs>
          <w:tab w:val="left" w:pos="28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磋商报价得分＝【（评标基准价（100%-最高的报价优惠率）/最终磋商报价（100%-报价优惠率）×15%×100】。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4.异常低价响应审查：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4.1评审中出现下列情形之一的，评审委员会应当启动异常低价投标（响应）审查程序：</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4.1.1投标（响应）报价低于全部通过符合性审查供应商投标（响应）报价平均值50%的，即投标（响应）报价&lt;全部通过符合性审查供应商投标（响应）报价平均值×50%；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4.1.2投标（响应）报价低于通过符合性审查的次低报价供应商投标（响应）报价50%的，即投标（响应）报价&lt;通过符合性审查的次低报价供应商投标（响应）报价×50%；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4.1.3投标（响应）报价低于采购项目最高限价45%的，即投标（响应）报价&lt;采购项目最高限价×45%；</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4.1.4评审委员会基于专业判断，认为供应商报价过低，有可能影响产品质量或者不能诚信履约的其他情形。</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4.2评审委员会启动异常低价投标（响应）审查后，属于前述第4.1.1项至第4.1.4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4.1.3项情形，供应商已随投标（响应）文件一并提交相关书面说明及必要的证明材料的，在评审现场可不再重复提交。</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（二）技术方案（63分）</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1.对项目的理解和总体思路（9分）</w:t>
      </w:r>
      <w:r>
        <w:rPr>
          <w:color w:val="000000" w:themeColor="text1"/>
        </w:rPr>
      </w:r>
      <w:r/>
    </w:p>
    <w:p>
      <w:pPr>
        <w:ind w:left="0" w:right="0" w:firstLine="6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对项目背景，实施项目思路认识充分，服务需求的理解到位，对采购需求分析透彻，并且能结合采购需求提供全面的、有针对性服务响应，实施项目思路清晰描述全面详细、切合项目实际、合理、可行性强的得9分；基本了解项目概况、服务需求，能够简单分析采购需求并提供有针对性服务响应，实施项目思路清晰描述简略、合理、可行的的得6分；对项目概况、服务需求理解不到位的，响应采购需求无针对性的，实施项目思路清晰描述粗略、不合理、可行性差的得3分；无方案不得分。</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2.蓝藻打捞人员分工及责任制度建设方案（9分）</w:t>
      </w:r>
      <w:r>
        <w:rPr>
          <w:color w:val="000000" w:themeColor="text1"/>
        </w:rPr>
      </w:r>
      <w:r/>
    </w:p>
    <w:p>
      <w:pPr>
        <w:ind w:left="0" w:right="0" w:firstLine="6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方案分工明确，责任具体、制度建设到位，方案全面详细、切合项目实际、合理性及可行性强的得9分；方案分工较明确，责任较到位，方案描述简略、合理且具备基本可行性得6分；虽有方案但分工模糊、责任不具体，方案描述粗略、合理性及可行性较差得3分；无方案不得分。</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3.蓝藻易发高发区域的打捞及运输方案，方案必须要有针对性（9分）</w:t>
      </w:r>
      <w:r>
        <w:rPr>
          <w:color w:val="000000" w:themeColor="text1"/>
        </w:rPr>
      </w:r>
      <w:r/>
    </w:p>
    <w:p>
      <w:pPr>
        <w:ind w:left="0" w:right="0" w:firstLine="6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蓝藻易发高发区域的投标单位所提出的方案要求针对性强、合理性得当具有可行性得9分；针对蓝藻易发高发区域的投标单位所提出的方案要求具有可操作性得6分；针对蓝藻易发高发区域的有方案与现场操作有差异得3分；无方案不得分。</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4.对蓝藻防控及处理方案比较（9分）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充分了解本项目特点，针对蓝藻防控及处理做出响应方案，内容完善全面、科学合理、实施便捷的得9分；内容科学合理，可行性强的得6分；内容有涉及但不全面的得3分；无方案不得分；</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5.安全文明保障措施方案（9分）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主要包括正常营运及服务作业时文明服务保障措施，安全作业保障措施以及安全操作规程。安全文明保障措施方案合理、可行性强，安全操作规程合理得9分；安全文明保障措施方案具有较强针对性，可行性较强得6分；具有安全文明保障措施方案但与实际有一定区别得3分；无方案不得分。</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6.应急预案（9分）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对于突发事故的应急预案体系完善、响应及时、流程合理、可操作性强得9分；应急预案较完善、响应流程较合理，有可行性得6分；突发事故的应急预案有但不完善的、流程不合理，可行性差得3分；无方案不得分。</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7.项目管理制度的比较（9分）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项目管理制度全面完善、切实可行、实施便捷的得9分；项目管理制度内容全面、较为完善，具备切实可行的得6分；项目管理制度有涉及但不全面、缺乏具体执行细则，可行性差的得3分；无方案不得分。</w:t>
      </w:r>
      <w:r>
        <w:rPr>
          <w:color w:val="000000" w:themeColor="text1"/>
        </w:rPr>
      </w: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(三)供应商履约能力（22分）</w:t>
      </w:r>
      <w:r>
        <w:rPr>
          <w:color w:val="000000" w:themeColor="text1"/>
        </w:rPr>
      </w:r>
      <w:r/>
    </w:p>
    <w:p>
      <w:pPr>
        <w:ind w:left="0" w:right="0" w:firstLine="420"/>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1.供应商提供自2023年3月1日至今类似蓝藻打捞项目业绩，每提供一份得5分，最高为10分。（提供类似业绩合同原件及对应合同50%发票原件扫描件，否则不得分）。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2.供应商自2023年3月1日至今（时间以获奖时间为准）获得过与本项目服务内容相关的使用或主管部门颁发的荣誉或表彰的，每个得2分，本项最高得4分。提供荣誉或表彰证书扫描件，否则不得分。</w:t>
      </w:r>
      <w:r>
        <w:rPr>
          <w:color w:val="000000" w:themeColor="text1"/>
        </w:rPr>
      </w:r>
      <w:r/>
    </w:p>
    <w:p>
      <w:pPr>
        <w:ind w:left="0" w:right="0" w:firstLine="420"/>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3.拟投入本项目的船只驾驶员在满足采购文件要求的基础上，每增加1名得2分，最高4分。（提供船舶驾驶证扫描件及最近一期的社保证明扫描件，否则不得分。）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4.蓝藻处置地配置（4分）</w:t>
      </w:r>
      <w:r>
        <w:rPr>
          <w:color w:val="000000" w:themeColor="text1"/>
        </w:rPr>
      </w:r>
      <w:r/>
    </w:p>
    <w:p>
      <w:pPr>
        <w:ind w:left="0" w:right="0" w:firstLine="420"/>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配置蓝藻处置地的得4分。（自有的提供蓝藻处置地使用证明复印件，应体现场地面积、使用期限等；租赁的提供蓝藻处置地租赁协议复印件，体现场地面积、租赁期限等，租赁期应涵盖本项目整个服务期范围；承诺成交后配置的，提供承诺书扫描件，承诺内容应明确成交后签订合同前完成手续办理，否则不得分。）</w:t>
      </w:r>
      <w:r>
        <w:rPr>
          <w:color w:val="000000" w:themeColor="text1"/>
        </w:rPr>
      </w:r>
      <w:r/>
    </w:p>
    <w:p>
      <w:pPr>
        <w:ind w:left="0" w:right="0" w:firstLine="0"/>
        <w:spacing w:before="0" w:after="0" w:line="439" w:lineRule="atLeast"/>
        <w:tabs>
          <w:tab w:val="left" w:pos="28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备注：</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1.付款步骤、合同履行期限如有负偏离的不得成交。</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2.针对评分标准中评分的每一条，磋商响应单位均应提供相关资料供评委评判，不提供相关资料的视为不具备该项得分的条件。</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3.响应文件中如出现前后不一致时，评委有权请供应商澄清说明，澄清说明事项涉及评分时，评委有权酌情扣分。</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以上须要递交的资料响应文件接收截止时间之前递交，逾时递交的资料将不作为评审依据。响应人提供资料必须真实有效，成交后采购人有权对相应证书等资料进行原件核查，如若提供虚假资料，将承担相应法律责任。</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5.磋商响应文件中复印件可用扫描件代替，采购文件中要求加盖供应商公章的，可用电子签章代替。  </w:t>
      </w:r>
      <w:r>
        <w:rPr>
          <w:color w:val="000000" w:themeColor="text1"/>
        </w:rPr>
      </w:r>
      <w:r/>
    </w:p>
    <w:p>
      <w:pPr>
        <w:ind w:left="0" w:right="0" w:firstLine="422"/>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2"/>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（全文完）</w:t>
      </w:r>
      <w:r>
        <w:rPr>
          <w:color w:val="000000" w:themeColor="text1"/>
        </w:rPr>
      </w:r>
      <w:r/>
    </w:p>
    <w:p>
      <w:pPr>
        <w:ind w:left="0" w:right="0" w:firstLine="42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rPr>
          <w:color w:val="000000" w:themeColor="text1"/>
        </w:rPr>
      </w:pPr>
      <w:r>
        <w:rPr>
          <w:color w:val="000000" w:themeColor="text1"/>
        </w:rPr>
      </w:r>
      <w:r>
        <w:rPr>
          <w:color w:val="000000" w:themeColor="text1"/>
        </w:rPr>
      </w:r>
      <w:r/>
    </w:p>
    <w:sectPr>
      <w:headerReference w:type="default" r:id="rId9"/>
      <w:footerReference w:type="default" r:id="rId10"/>
      <w:footerReference w:type="first" r:id="rId11"/>
      <w:footnotePr/>
      <w:endnotePr/>
      <w:type w:val="nextPage"/>
      <w:pgSz w:w="11906" w:h="16838" w:orient="portrait"/>
      <w:pgMar w:top="1440" w:right="1558" w:bottom="1440" w:left="1588" w:header="737" w:footer="1247"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等线 Light">
    <w:panose1 w:val="02010600030101010101"/>
  </w:font>
  <w:font w:name="等线">
    <w:panose1 w:val="02010600030101010101"/>
  </w:font>
  <w:font w:name="楷体_GB2312">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left" w:pos="2554"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left"/>
      <w:tabs>
        <w:tab w:val="center" w:pos="4153" w:leader="none"/>
        <w:tab w:val="right" w:pos="8306" w:leader="none"/>
      </w:tabs>
      <w:rPr>
        <w:rFonts w:hint="eastAsia"/>
        <w:lang w:eastAsia="zh-CN"/>
      </w:rPr>
    </w:pPr>
    <w:r>
      <w:rPr>
        <w:rFonts w:hint="eastAsia" w:ascii="宋体" w:hAnsi="宋体" w:cs="宋体"/>
        <w:sz w:val="21"/>
        <w:szCs w:val="21"/>
        <w:lang w:eastAsia="zh-CN"/>
      </w:rPr>
      <w:t xml:space="preserve">苏州汇顺项目管理咨询有限公司</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 </w:t>
    </w:r>
    <w:r>
      <w:rPr>
        <w:rFonts w:hint="eastAsia" w:ascii="宋体" w:hAnsi="宋体" w:cs="宋体"/>
        <w:sz w:val="21"/>
        <w:szCs w:val="21"/>
        <w:lang w:eastAsia="zh-CN"/>
      </w:rPr>
      <w:t xml:space="preserve">JSZC-320505-SZHS-C2026-0005</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920"/>
        <w:ind w:left="432" w:hanging="432"/>
      </w:pPr>
      <w:rPr>
        <w:rFonts w:hint="eastAsia"/>
      </w:rPr>
    </w:lvl>
    <w:lvl w:ilvl="1">
      <w:start w:val="1"/>
      <w:numFmt w:val="chineseCountingThousand"/>
      <w:isLgl w:val="false"/>
      <w:suff w:val="tab"/>
      <w:lvlText w:val="(%2)"/>
      <w:lvlJc w:val="left"/>
      <w:pPr>
        <w:pStyle w:val="920"/>
        <w:ind w:left="576" w:hanging="576"/>
      </w:pPr>
      <w:rPr>
        <w:rFonts w:hint="eastAsia"/>
      </w:rPr>
    </w:lvl>
    <w:lvl w:ilvl="2">
      <w:start w:val="1"/>
      <w:numFmt w:val="decimal"/>
      <w:isLgl w:val="false"/>
      <w:suff w:val="tab"/>
      <w:lvlText w:val="%3"/>
      <w:lvlJc w:val="left"/>
      <w:pPr>
        <w:pStyle w:val="920"/>
        <w:ind w:left="720" w:hanging="720"/>
      </w:pPr>
      <w:rPr>
        <w:rFonts w:hint="eastAsia"/>
      </w:rPr>
    </w:lvl>
    <w:lvl w:ilvl="3">
      <w:start w:val="1"/>
      <w:numFmt w:val="decimal"/>
      <w:pStyle w:val="924"/>
      <w:isLgl w:val="false"/>
      <w:suff w:val="tab"/>
      <w:lvlText w:val="%3.%4"/>
      <w:lvlJc w:val="left"/>
      <w:pPr>
        <w:pStyle w:val="920"/>
        <w:ind w:left="864" w:hanging="864"/>
      </w:pPr>
      <w:rPr>
        <w:rFonts w:hint="eastAsia"/>
      </w:rPr>
    </w:lvl>
    <w:lvl w:ilvl="4">
      <w:start w:val="1"/>
      <w:numFmt w:val="decimal"/>
      <w:isLgl w:val="false"/>
      <w:suff w:val="tab"/>
      <w:lvlText w:val="%3.%4.%5"/>
      <w:lvlJc w:val="left"/>
      <w:pPr>
        <w:pStyle w:val="920"/>
        <w:ind w:left="1008" w:hanging="1008"/>
      </w:pPr>
      <w:rPr>
        <w:rFonts w:hint="eastAsia"/>
      </w:rPr>
    </w:lvl>
    <w:lvl w:ilvl="5">
      <w:start w:val="1"/>
      <w:numFmt w:val="decimal"/>
      <w:isLgl w:val="false"/>
      <w:suff w:val="tab"/>
      <w:lvlText w:val="(%6)"/>
      <w:lvlJc w:val="left"/>
      <w:pPr>
        <w:pStyle w:val="920"/>
        <w:ind w:left="1152" w:hanging="1152"/>
      </w:pPr>
      <w:rPr>
        <w:rFonts w:hint="eastAsia"/>
      </w:rPr>
    </w:lvl>
    <w:lvl w:ilvl="6">
      <w:start w:val="1"/>
      <w:numFmt w:val="decimal"/>
      <w:isLgl w:val="false"/>
      <w:suff w:val="tab"/>
      <w:lvlText w:val=""/>
      <w:lvlJc w:val="left"/>
      <w:pPr>
        <w:pStyle w:val="920"/>
        <w:ind w:left="1296" w:hanging="1296"/>
      </w:pPr>
      <w:rPr>
        <w:rFonts w:hint="eastAsia"/>
      </w:rPr>
    </w:lvl>
    <w:lvl w:ilvl="7">
      <w:start w:val="1"/>
      <w:numFmt w:val="decimal"/>
      <w:isLgl w:val="false"/>
      <w:suff w:val="tab"/>
      <w:lvlText w:val=""/>
      <w:lvlJc w:val="left"/>
      <w:pPr>
        <w:pStyle w:val="920"/>
        <w:ind w:left="1440" w:hanging="1440"/>
      </w:pPr>
      <w:rPr>
        <w:rFonts w:hint="eastAsia"/>
      </w:rPr>
    </w:lvl>
    <w:lvl w:ilvl="8">
      <w:start w:val="1"/>
      <w:numFmt w:val="decimal"/>
      <w:isLgl w:val="false"/>
      <w:suff w:val="tab"/>
      <w:lvlText w:val=""/>
      <w:lvlJc w:val="left"/>
      <w:pPr>
        <w:pStyle w:val="920"/>
        <w:ind w:left="1584" w:hanging="1584"/>
      </w:pPr>
      <w:rPr>
        <w:rFonts w:hint="eastAsia"/>
      </w:rPr>
    </w:lvl>
  </w:abstractNum>
  <w:abstractNum w:abstractNumId="2">
    <w:multiLevelType w:val="hybridMultilevel"/>
    <w:lvl w:ilvl="0">
      <w:start w:val="1"/>
      <w:numFmt w:val="decimal"/>
      <w:isLgl w:val="false"/>
      <w:suff w:val="tab"/>
      <w:lvlText w:val="%1."/>
      <w:lvlJc w:val="left"/>
      <w:pPr>
        <w:pStyle w:val="920"/>
        <w:ind w:left="420" w:hanging="42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0"/>
    <w:next w:val="920"/>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0"/>
    <w:next w:val="920"/>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0"/>
    <w:next w:val="920"/>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0"/>
    <w:next w:val="920"/>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0"/>
    <w:link w:val="920"/>
    <w:qFormat/>
    <w:pPr>
      <w:jc w:val="both"/>
      <w:widowControl w:val="off"/>
    </w:pPr>
    <w:rPr>
      <w:sz w:val="21"/>
      <w:szCs w:val="24"/>
      <w:lang w:val="en-US" w:eastAsia="zh-CN" w:bidi="ar-SA"/>
    </w:rPr>
  </w:style>
  <w:style w:type="paragraph" w:styleId="921">
    <w:name w:val="标题 1"/>
    <w:basedOn w:val="920"/>
    <w:next w:val="920"/>
    <w:link w:val="928"/>
    <w:qFormat/>
    <w:pPr>
      <w:jc w:val="left"/>
      <w:spacing w:line="480" w:lineRule="auto"/>
      <w:outlineLvl w:val="0"/>
    </w:pPr>
    <w:rPr>
      <w:rFonts w:ascii="宋体" w:hAnsi="宋体"/>
      <w:b/>
      <w:bCs/>
      <w:sz w:val="20"/>
      <w:szCs w:val="21"/>
    </w:rPr>
  </w:style>
  <w:style w:type="paragraph" w:styleId="922">
    <w:name w:val="标题 2"/>
    <w:basedOn w:val="920"/>
    <w:next w:val="920"/>
    <w:link w:val="929"/>
    <w:qFormat/>
    <w:pPr>
      <w:keepLines/>
      <w:keepNext/>
      <w:spacing w:before="260" w:after="260" w:line="413" w:lineRule="auto"/>
      <w:outlineLvl w:val="1"/>
    </w:pPr>
    <w:rPr>
      <w:rFonts w:ascii="Arial" w:hAnsi="Arial" w:eastAsia="黑体"/>
      <w:b/>
      <w:bCs/>
      <w:sz w:val="32"/>
      <w:szCs w:val="32"/>
    </w:rPr>
  </w:style>
  <w:style w:type="paragraph" w:styleId="923">
    <w:name w:val="标题 3"/>
    <w:basedOn w:val="920"/>
    <w:next w:val="920"/>
    <w:link w:val="930"/>
    <w:qFormat/>
    <w:pPr>
      <w:keepLines/>
      <w:keepNext/>
      <w:spacing w:before="260" w:after="260" w:line="416" w:lineRule="auto"/>
      <w:outlineLvl w:val="2"/>
    </w:pPr>
    <w:rPr>
      <w:b/>
      <w:bCs/>
      <w:sz w:val="32"/>
      <w:szCs w:val="32"/>
    </w:rPr>
  </w:style>
  <w:style w:type="paragraph" w:styleId="924">
    <w:name w:val="标题 4"/>
    <w:basedOn w:val="920"/>
    <w:next w:val="920"/>
    <w:link w:val="920"/>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paragraph" w:styleId="925">
    <w:name w:val="标题 5"/>
    <w:basedOn w:val="920"/>
    <w:next w:val="920"/>
    <w:link w:val="920"/>
    <w:qFormat/>
    <w:pPr>
      <w:keepLines/>
      <w:keepNext/>
      <w:spacing w:before="280" w:after="290" w:line="376" w:lineRule="auto"/>
      <w:outlineLvl w:val="4"/>
    </w:pPr>
    <w:rPr>
      <w:b/>
      <w:bCs/>
      <w:sz w:val="28"/>
      <w:szCs w:val="28"/>
    </w:rPr>
  </w:style>
  <w:style w:type="character" w:styleId="926">
    <w:name w:val="默认段落字体"/>
    <w:next w:val="926"/>
    <w:link w:val="920"/>
    <w:semiHidden/>
  </w:style>
  <w:style w:type="table" w:styleId="927">
    <w:name w:val="普通表格"/>
    <w:next w:val="927"/>
    <w:link w:val="92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28">
    <w:name w:val="标题 1 Char"/>
    <w:next w:val="928"/>
    <w:link w:val="921"/>
    <w:rPr>
      <w:rFonts w:ascii="宋体" w:hAnsi="宋体" w:cs="宋体"/>
      <w:b/>
      <w:bCs/>
      <w:szCs w:val="21"/>
    </w:rPr>
  </w:style>
  <w:style w:type="character" w:styleId="929">
    <w:name w:val="标题 2 Char"/>
    <w:next w:val="929"/>
    <w:link w:val="922"/>
    <w:rPr>
      <w:rFonts w:ascii="Arial" w:hAnsi="Arial" w:eastAsia="黑体" w:cs="Arial"/>
      <w:b/>
      <w:bCs/>
      <w:sz w:val="32"/>
      <w:szCs w:val="32"/>
    </w:rPr>
  </w:style>
  <w:style w:type="character" w:styleId="930">
    <w:name w:val="标题 3 Char"/>
    <w:next w:val="930"/>
    <w:link w:val="923"/>
    <w:semiHidden/>
    <w:rPr>
      <w:b/>
      <w:bCs/>
      <w:sz w:val="32"/>
      <w:szCs w:val="32"/>
    </w:rPr>
  </w:style>
  <w:style w:type="paragraph" w:styleId="931">
    <w:name w:val="正文缩进"/>
    <w:basedOn w:val="920"/>
    <w:next w:val="931"/>
    <w:link w:val="932"/>
    <w:qFormat/>
    <w:pPr>
      <w:ind w:firstLine="420"/>
      <w:jc w:val="left"/>
    </w:pPr>
    <w:rPr>
      <w:rFonts w:eastAsia="楷体_GB2312"/>
      <w:sz w:val="24"/>
      <w:szCs w:val="20"/>
    </w:rPr>
  </w:style>
  <w:style w:type="character" w:styleId="932">
    <w:name w:val="正文缩进 Char1"/>
    <w:next w:val="932"/>
    <w:link w:val="931"/>
    <w:qFormat/>
    <w:rPr>
      <w:rFonts w:eastAsia="楷体_GB2312"/>
      <w:sz w:val="24"/>
      <w:lang w:bidi="ar-SA"/>
    </w:rPr>
  </w:style>
  <w:style w:type="paragraph" w:styleId="933">
    <w:name w:val="批注文字"/>
    <w:basedOn w:val="920"/>
    <w:next w:val="933"/>
    <w:link w:val="934"/>
    <w:pPr>
      <w:jc w:val="left"/>
    </w:pPr>
  </w:style>
  <w:style w:type="character" w:styleId="934">
    <w:name w:val="批注文字 Char"/>
    <w:next w:val="934"/>
    <w:link w:val="933"/>
    <w:rPr>
      <w:sz w:val="21"/>
      <w:szCs w:val="24"/>
    </w:rPr>
  </w:style>
  <w:style w:type="paragraph" w:styleId="935">
    <w:name w:val="正文文本"/>
    <w:basedOn w:val="920"/>
    <w:next w:val="935"/>
    <w:link w:val="936"/>
    <w:qFormat/>
    <w:pPr>
      <w:tabs>
        <w:tab w:val="left" w:pos="5250" w:leader="none"/>
      </w:tabs>
    </w:pPr>
    <w:rPr>
      <w:sz w:val="28"/>
    </w:rPr>
  </w:style>
  <w:style w:type="character" w:styleId="936">
    <w:name w:val="正文文本 Char"/>
    <w:next w:val="936"/>
    <w:link w:val="935"/>
    <w:rPr>
      <w:sz w:val="28"/>
      <w:szCs w:val="24"/>
    </w:rPr>
  </w:style>
  <w:style w:type="paragraph" w:styleId="937">
    <w:name w:val="正文文本缩进"/>
    <w:basedOn w:val="920"/>
    <w:next w:val="937"/>
    <w:link w:val="920"/>
    <w:uiPriority w:val="99"/>
    <w:qFormat/>
    <w:pPr>
      <w:ind w:firstLine="560"/>
      <w:jc w:val="left"/>
      <w:spacing w:line="300" w:lineRule="auto"/>
    </w:pPr>
    <w:rPr>
      <w:sz w:val="28"/>
    </w:rPr>
  </w:style>
  <w:style w:type="paragraph" w:styleId="938">
    <w:name w:val="文本块"/>
    <w:basedOn w:val="920"/>
    <w:next w:val="938"/>
    <w:link w:val="920"/>
    <w:pPr>
      <w:ind w:left="630" w:right="-609" w:firstLine="420"/>
      <w:spacing w:line="360" w:lineRule="auto"/>
    </w:pPr>
    <w:rPr>
      <w:rFonts w:hint="eastAsia" w:ascii="仿宋_GB2312" w:eastAsia="仿宋_GB2312"/>
      <w:szCs w:val="20"/>
    </w:rPr>
  </w:style>
  <w:style w:type="paragraph" w:styleId="939">
    <w:name w:val="目录 3"/>
    <w:basedOn w:val="920"/>
    <w:next w:val="920"/>
    <w:link w:val="920"/>
    <w:uiPriority w:val="39"/>
    <w:unhideWhenUsed/>
    <w:pPr>
      <w:ind w:left="440"/>
      <w:jc w:val="left"/>
      <w:spacing w:after="100" w:line="259" w:lineRule="auto"/>
      <w:widowControl/>
    </w:pPr>
    <w:rPr>
      <w:rFonts w:ascii="等线" w:hAnsi="等线" w:eastAsia="等线"/>
      <w:sz w:val="22"/>
      <w:szCs w:val="22"/>
    </w:rPr>
  </w:style>
  <w:style w:type="paragraph" w:styleId="940">
    <w:name w:val="纯文本"/>
    <w:basedOn w:val="920"/>
    <w:next w:val="940"/>
    <w:link w:val="941"/>
    <w:qFormat/>
    <w:rPr>
      <w:rFonts w:ascii="宋体" w:hAnsi="Courier New"/>
      <w:szCs w:val="20"/>
    </w:rPr>
  </w:style>
  <w:style w:type="character" w:styleId="941">
    <w:name w:val="纯文本 Char"/>
    <w:next w:val="941"/>
    <w:link w:val="940"/>
    <w:qFormat/>
    <w:rPr>
      <w:rFonts w:ascii="宋体" w:hAnsi="Courier New"/>
      <w:sz w:val="21"/>
    </w:rPr>
  </w:style>
  <w:style w:type="paragraph" w:styleId="942">
    <w:name w:val="日期"/>
    <w:basedOn w:val="920"/>
    <w:next w:val="920"/>
    <w:link w:val="920"/>
    <w:qFormat/>
    <w:rPr>
      <w:rFonts w:ascii="宋体" w:hAnsi="宋体"/>
      <w:sz w:val="24"/>
    </w:rPr>
  </w:style>
  <w:style w:type="paragraph" w:styleId="943">
    <w:name w:val="批注框文本"/>
    <w:basedOn w:val="920"/>
    <w:next w:val="943"/>
    <w:link w:val="944"/>
    <w:rPr>
      <w:sz w:val="18"/>
      <w:szCs w:val="18"/>
    </w:rPr>
  </w:style>
  <w:style w:type="character" w:styleId="944">
    <w:name w:val="批注框文本 Char"/>
    <w:next w:val="944"/>
    <w:link w:val="943"/>
    <w:rPr>
      <w:sz w:val="18"/>
      <w:szCs w:val="18"/>
      <w:lang w:bidi="ar-SA"/>
    </w:rPr>
  </w:style>
  <w:style w:type="paragraph" w:styleId="945">
    <w:name w:val="页脚"/>
    <w:basedOn w:val="920"/>
    <w:next w:val="945"/>
    <w:link w:val="946"/>
    <w:uiPriority w:val="99"/>
    <w:pPr>
      <w:jc w:val="left"/>
      <w:tabs>
        <w:tab w:val="center" w:pos="4153" w:leader="none"/>
        <w:tab w:val="right" w:pos="8306" w:leader="none"/>
      </w:tabs>
    </w:pPr>
    <w:rPr>
      <w:sz w:val="18"/>
      <w:szCs w:val="18"/>
    </w:rPr>
  </w:style>
  <w:style w:type="character" w:styleId="946">
    <w:name w:val="页脚 Char"/>
    <w:next w:val="946"/>
    <w:link w:val="945"/>
    <w:uiPriority w:val="99"/>
    <w:rPr>
      <w:sz w:val="18"/>
      <w:szCs w:val="18"/>
    </w:rPr>
  </w:style>
  <w:style w:type="paragraph" w:styleId="947">
    <w:name w:val="寄信人地址"/>
    <w:basedOn w:val="920"/>
    <w:next w:val="947"/>
    <w:link w:val="920"/>
    <w:qFormat/>
    <w:rPr>
      <w:rFonts w:ascii="Arial" w:hAnsi="Arial"/>
    </w:rPr>
  </w:style>
  <w:style w:type="paragraph" w:styleId="948">
    <w:name w:val="页眉"/>
    <w:basedOn w:val="920"/>
    <w:next w:val="948"/>
    <w:link w:val="949"/>
    <w:uiPriority w:val="99"/>
    <w:pPr>
      <w:jc w:val="center"/>
      <w:tabs>
        <w:tab w:val="center" w:pos="4153" w:leader="none"/>
        <w:tab w:val="right" w:pos="8306" w:leader="none"/>
      </w:tabs>
      <w:pBdr>
        <w:bottom w:val="single" w:color="000000" w:sz="6" w:space="1"/>
      </w:pBdr>
    </w:pPr>
    <w:rPr>
      <w:sz w:val="18"/>
      <w:szCs w:val="18"/>
    </w:rPr>
  </w:style>
  <w:style w:type="character" w:styleId="949">
    <w:name w:val="页眉 Char"/>
    <w:next w:val="949"/>
    <w:link w:val="948"/>
    <w:uiPriority w:val="99"/>
    <w:rPr>
      <w:sz w:val="18"/>
      <w:szCs w:val="18"/>
    </w:rPr>
  </w:style>
  <w:style w:type="paragraph" w:styleId="950">
    <w:name w:val="目录 1"/>
    <w:basedOn w:val="920"/>
    <w:next w:val="920"/>
    <w:link w:val="920"/>
    <w:uiPriority w:val="39"/>
  </w:style>
  <w:style w:type="paragraph" w:styleId="951">
    <w:name w:val="正文文本缩进 3"/>
    <w:basedOn w:val="920"/>
    <w:next w:val="951"/>
    <w:link w:val="920"/>
    <w:qFormat/>
    <w:pPr>
      <w:ind w:firstLine="480"/>
      <w:spacing w:line="360" w:lineRule="auto"/>
      <w:widowControl/>
    </w:pPr>
    <w:rPr>
      <w:sz w:val="24"/>
    </w:rPr>
  </w:style>
  <w:style w:type="paragraph" w:styleId="952">
    <w:name w:val="目录 2"/>
    <w:basedOn w:val="920"/>
    <w:next w:val="920"/>
    <w:link w:val="920"/>
    <w:uiPriority w:val="39"/>
    <w:unhideWhenUsed/>
    <w:pPr>
      <w:ind w:left="220"/>
      <w:jc w:val="left"/>
      <w:spacing w:after="100" w:line="259" w:lineRule="auto"/>
      <w:widowControl/>
    </w:pPr>
    <w:rPr>
      <w:rFonts w:ascii="等线" w:hAnsi="等线" w:eastAsia="等线"/>
      <w:sz w:val="22"/>
      <w:szCs w:val="22"/>
    </w:rPr>
  </w:style>
  <w:style w:type="paragraph" w:styleId="953">
    <w:name w:val="正文文本 2"/>
    <w:basedOn w:val="920"/>
    <w:next w:val="953"/>
    <w:link w:val="920"/>
    <w:qFormat/>
    <w:pPr>
      <w:jc w:val="left"/>
      <w:spacing w:before="50" w:line="400" w:lineRule="exact"/>
      <w:widowControl/>
    </w:pPr>
    <w:rPr>
      <w:rFonts w:ascii="宋体" w:hAnsi="宋体"/>
      <w:color w:val="000000"/>
      <w:sz w:val="24"/>
      <w:szCs w:val="24"/>
    </w:rPr>
  </w:style>
  <w:style w:type="paragraph" w:styleId="954">
    <w:name w:val="普通(网站)"/>
    <w:basedOn w:val="920"/>
    <w:next w:val="954"/>
    <w:link w:val="920"/>
    <w:qFormat/>
    <w:pPr>
      <w:jc w:val="left"/>
      <w:widowControl/>
    </w:pPr>
    <w:rPr>
      <w:sz w:val="24"/>
    </w:rPr>
  </w:style>
  <w:style w:type="paragraph" w:styleId="955">
    <w:name w:val="标题"/>
    <w:basedOn w:val="920"/>
    <w:next w:val="920"/>
    <w:link w:val="956"/>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956">
    <w:name w:val="标题 Char"/>
    <w:next w:val="956"/>
    <w:link w:val="955"/>
    <w:rPr>
      <w:rFonts w:ascii="宋体" w:hAnsi="宋体"/>
      <w:b/>
      <w:color w:val="000000"/>
      <w:sz w:val="32"/>
      <w:szCs w:val="32"/>
    </w:rPr>
  </w:style>
  <w:style w:type="paragraph" w:styleId="957">
    <w:name w:val="批注主题"/>
    <w:basedOn w:val="933"/>
    <w:next w:val="933"/>
    <w:link w:val="958"/>
    <w:rPr>
      <w:b/>
      <w:bCs/>
    </w:rPr>
  </w:style>
  <w:style w:type="character" w:styleId="958">
    <w:name w:val="批注主题 Char"/>
    <w:next w:val="958"/>
    <w:link w:val="957"/>
    <w:rPr>
      <w:b/>
      <w:bCs/>
      <w:sz w:val="21"/>
      <w:szCs w:val="24"/>
    </w:rPr>
  </w:style>
  <w:style w:type="paragraph" w:styleId="959">
    <w:name w:val="正文首行缩进"/>
    <w:basedOn w:val="935"/>
    <w:next w:val="960"/>
    <w:link w:val="920"/>
    <w:qFormat/>
    <w:pPr>
      <w:ind w:firstLine="420"/>
      <w:tabs>
        <w:tab w:val="left" w:pos="5250" w:leader="none"/>
      </w:tabs>
    </w:pPr>
  </w:style>
  <w:style w:type="paragraph" w:styleId="960">
    <w:name w:val="正文首行缩进 2"/>
    <w:basedOn w:val="937"/>
    <w:next w:val="960"/>
    <w:link w:val="920"/>
    <w:unhideWhenUsed/>
    <w:pPr>
      <w:ind w:firstLine="420"/>
    </w:pPr>
    <w:rPr>
      <w:sz w:val="21"/>
      <w:szCs w:val="24"/>
    </w:rPr>
  </w:style>
  <w:style w:type="table" w:styleId="961">
    <w:name w:val="网格型"/>
    <w:basedOn w:val="927"/>
    <w:next w:val="961"/>
    <w:link w:val="920"/>
    <w:uiPriority w:val="59"/>
    <w:qFormat/>
    <w:tblPr/>
  </w:style>
  <w:style w:type="character" w:styleId="962">
    <w:name w:val="要点"/>
    <w:next w:val="962"/>
    <w:link w:val="920"/>
    <w:uiPriority w:val="22"/>
    <w:qFormat/>
    <w:rPr>
      <w:b/>
      <w:bCs/>
    </w:rPr>
  </w:style>
  <w:style w:type="character" w:styleId="963">
    <w:name w:val="页码"/>
    <w:next w:val="963"/>
    <w:link w:val="920"/>
    <w:rPr>
      <w:rFonts w:ascii="Times New Roman" w:hAnsi="Times New Roman" w:eastAsia="宋体" w:cs="Times New Roman"/>
    </w:rPr>
  </w:style>
  <w:style w:type="character" w:styleId="964">
    <w:name w:val="已访问的超链接"/>
    <w:next w:val="964"/>
    <w:link w:val="920"/>
    <w:rPr>
      <w:color w:val="333333"/>
      <w:u w:val="none"/>
    </w:rPr>
  </w:style>
  <w:style w:type="character" w:styleId="965">
    <w:name w:val="强调"/>
    <w:next w:val="965"/>
    <w:link w:val="920"/>
    <w:qFormat/>
    <w:rPr>
      <w:i w:val="0"/>
    </w:rPr>
  </w:style>
  <w:style w:type="character" w:styleId="966">
    <w:name w:val="超链接"/>
    <w:next w:val="966"/>
    <w:link w:val="920"/>
    <w:uiPriority w:val="99"/>
    <w:unhideWhenUsed/>
    <w:rPr>
      <w:color w:val="0563c1"/>
      <w:u w:val="single"/>
    </w:rPr>
  </w:style>
  <w:style w:type="character" w:styleId="967">
    <w:name w:val="批注引用"/>
    <w:next w:val="967"/>
    <w:link w:val="920"/>
    <w:rPr>
      <w:sz w:val="21"/>
      <w:szCs w:val="21"/>
    </w:rPr>
  </w:style>
  <w:style w:type="paragraph" w:styleId="968">
    <w:name w:val="段"/>
    <w:basedOn w:val="969"/>
    <w:next w:val="920"/>
    <w:link w:val="920"/>
    <w:qFormat/>
    <w:pPr>
      <w:ind w:firstLine="200"/>
      <w:jc w:val="both"/>
    </w:pPr>
    <w:rPr>
      <w:rFonts w:ascii="宋体"/>
      <w:sz w:val="21"/>
      <w:lang w:val="en-US" w:eastAsia="zh-CN" w:bidi="ar-SA"/>
    </w:rPr>
  </w:style>
  <w:style w:type="paragraph" w:styleId="969">
    <w:name w:val="正文1"/>
    <w:basedOn w:val="970"/>
    <w:next w:val="972"/>
    <w:link w:val="920"/>
    <w:qFormat/>
    <w:pPr>
      <w:ind w:left="420" w:firstLine="527"/>
      <w:spacing w:before="120" w:line="360" w:lineRule="auto"/>
    </w:pPr>
    <w:rPr>
      <w:rFonts w:ascii="宋体" w:hAnsi="宋体"/>
    </w:rPr>
  </w:style>
  <w:style w:type="paragraph" w:styleId="970">
    <w:name w:val="正文12"/>
    <w:next w:val="971"/>
    <w:link w:val="920"/>
    <w:qFormat/>
    <w:pPr>
      <w:jc w:val="both"/>
      <w:widowControl w:val="off"/>
    </w:pPr>
    <w:rPr>
      <w:sz w:val="21"/>
      <w:szCs w:val="24"/>
      <w:lang w:val="en-US" w:eastAsia="zh-CN" w:bidi="ar-SA"/>
    </w:rPr>
  </w:style>
  <w:style w:type="paragraph" w:styleId="971">
    <w:name w:val="Default"/>
    <w:next w:val="971"/>
    <w:link w:val="920"/>
    <w:qFormat/>
    <w:pPr>
      <w:widowControl w:val="off"/>
    </w:pPr>
    <w:rPr>
      <w:rFonts w:ascii="宋体" w:cs="宋体"/>
      <w:color w:val="000000"/>
      <w:sz w:val="24"/>
      <w:szCs w:val="24"/>
      <w:lang w:val="en-US" w:eastAsia="zh-CN" w:bidi="ar-SA"/>
    </w:rPr>
  </w:style>
  <w:style w:type="paragraph" w:styleId="972">
    <w:name w:val="正文首行缩进1"/>
    <w:basedOn w:val="973"/>
    <w:next w:val="977"/>
    <w:link w:val="920"/>
    <w:qFormat/>
    <w:pPr>
      <w:ind w:firstLine="420"/>
    </w:pPr>
    <w:rPr>
      <w:szCs w:val="22"/>
    </w:rPr>
  </w:style>
  <w:style w:type="paragraph" w:styleId="973">
    <w:name w:val="正文文本1"/>
    <w:basedOn w:val="974"/>
    <w:next w:val="975"/>
    <w:link w:val="920"/>
    <w:qFormat/>
    <w:pPr>
      <w:spacing w:after="120"/>
    </w:pPr>
    <w:rPr>
      <w:rFonts w:ascii="Calibri" w:hAnsi="Calibri"/>
    </w:rPr>
  </w:style>
  <w:style w:type="paragraph" w:styleId="974">
    <w:name w:val="正文11"/>
    <w:next w:val="920"/>
    <w:link w:val="920"/>
    <w:qFormat/>
    <w:pPr>
      <w:jc w:val="both"/>
      <w:widowControl w:val="off"/>
    </w:pPr>
    <w:rPr>
      <w:sz w:val="21"/>
      <w:szCs w:val="24"/>
      <w:lang w:val="en-US" w:eastAsia="zh-CN" w:bidi="ar-SA"/>
    </w:rPr>
  </w:style>
  <w:style w:type="paragraph" w:styleId="975">
    <w:name w:val="一级条标题"/>
    <w:basedOn w:val="976"/>
    <w:next w:val="968"/>
    <w:link w:val="92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6">
    <w:name w:val="章标题"/>
    <w:next w:val="920"/>
    <w:link w:val="920"/>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77">
    <w:name w:val="正文首行缩进 21"/>
    <w:basedOn w:val="978"/>
    <w:next w:val="969"/>
    <w:link w:val="920"/>
    <w:qFormat/>
    <w:pPr>
      <w:ind w:firstLine="420"/>
      <w:widowControl/>
    </w:pPr>
    <w:rPr>
      <w:rFonts w:ascii="仿宋_GB2312"/>
      <w:color w:val="ff6600"/>
      <w:sz w:val="21"/>
    </w:rPr>
  </w:style>
  <w:style w:type="paragraph" w:styleId="978">
    <w:name w:val="正文文本缩进1"/>
    <w:basedOn w:val="969"/>
    <w:next w:val="979"/>
    <w:link w:val="920"/>
    <w:qFormat/>
    <w:pPr>
      <w:ind w:left="420"/>
      <w:spacing w:after="120"/>
    </w:pPr>
    <w:rPr>
      <w:rFonts w:ascii="Calibri" w:hAnsi="Calibri"/>
    </w:rPr>
  </w:style>
  <w:style w:type="paragraph" w:styleId="979">
    <w:name w:val="寄信人地址1"/>
    <w:basedOn w:val="969"/>
    <w:next w:val="979"/>
    <w:link w:val="920"/>
    <w:qFormat/>
    <w:rPr>
      <w:rFonts w:ascii="Arial" w:hAnsi="Arial"/>
    </w:rPr>
  </w:style>
  <w:style w:type="paragraph" w:styleId="980">
    <w:name w:val="文本块11"/>
    <w:basedOn w:val="970"/>
    <w:next w:val="980"/>
    <w:link w:val="920"/>
    <w:qFormat/>
    <w:pPr>
      <w:ind w:left="256" w:right="6" w:firstLine="624"/>
    </w:pPr>
    <w:rPr>
      <w:rFonts w:ascii="Times New Roman" w:hAnsi="Times New Roman" w:eastAsia="仿宋_GB2312"/>
      <w:sz w:val="28"/>
      <w:szCs w:val="20"/>
    </w:rPr>
  </w:style>
  <w:style w:type="paragraph" w:styleId="981">
    <w:name w:val="首行缩进"/>
    <w:basedOn w:val="920"/>
    <w:next w:val="981"/>
    <w:link w:val="920"/>
    <w:qFormat/>
    <w:pPr>
      <w:ind w:firstLine="480"/>
      <w:jc w:val="left"/>
      <w:widowControl/>
    </w:pPr>
    <w:rPr>
      <w:sz w:val="24"/>
      <w:szCs w:val="20"/>
      <w:lang w:val="zh-CN"/>
    </w:rPr>
  </w:style>
  <w:style w:type="character" w:styleId="982">
    <w:name w:val="标题 Char1"/>
    <w:next w:val="982"/>
    <w:link w:val="920"/>
    <w:rPr>
      <w:rFonts w:ascii="Cambria" w:hAnsi="Cambria" w:cs="Times New Roman"/>
      <w:b/>
      <w:bCs/>
      <w:sz w:val="32"/>
      <w:szCs w:val="32"/>
    </w:rPr>
  </w:style>
  <w:style w:type="character" w:styleId="983">
    <w:name w:val="font01"/>
    <w:next w:val="983"/>
    <w:link w:val="920"/>
    <w:qFormat/>
    <w:rPr>
      <w:rFonts w:ascii="Times New Roman" w:hAnsi="Times New Roman" w:eastAsia="宋体" w:cs="Times New Roman"/>
      <w:color w:val="000000"/>
      <w:sz w:val="24"/>
      <w:szCs w:val="24"/>
      <w:u w:val="none"/>
    </w:rPr>
  </w:style>
  <w:style w:type="character" w:styleId="984">
    <w:name w:val="Header or footer|1_"/>
    <w:next w:val="984"/>
    <w:link w:val="985"/>
    <w:rPr>
      <w:sz w:val="17"/>
      <w:szCs w:val="17"/>
    </w:rPr>
  </w:style>
  <w:style w:type="paragraph" w:styleId="985">
    <w:name w:val="Header or footer|1"/>
    <w:basedOn w:val="920"/>
    <w:next w:val="985"/>
    <w:link w:val="984"/>
    <w:pPr>
      <w:jc w:val="left"/>
    </w:pPr>
    <w:rPr>
      <w:sz w:val="17"/>
      <w:szCs w:val="17"/>
    </w:rPr>
  </w:style>
  <w:style w:type="character" w:styleId="986">
    <w:name w:val="Heading #4|1_"/>
    <w:next w:val="986"/>
    <w:link w:val="987"/>
    <w:rPr>
      <w:rFonts w:ascii="宋体" w:hAnsi="宋体" w:eastAsia="宋体" w:cs="宋体"/>
      <w:b/>
      <w:bCs/>
      <w:sz w:val="22"/>
      <w:szCs w:val="22"/>
      <w:lang w:val="zh-TW" w:eastAsia="zh-TW" w:bidi="zh-TW"/>
    </w:rPr>
  </w:style>
  <w:style w:type="paragraph" w:styleId="987">
    <w:name w:val="Heading #4|1"/>
    <w:basedOn w:val="920"/>
    <w:next w:val="987"/>
    <w:link w:val="986"/>
    <w:pPr>
      <w:ind w:firstLine="340"/>
      <w:jc w:val="left"/>
      <w:spacing w:line="469" w:lineRule="exact"/>
      <w:outlineLvl w:val="3"/>
    </w:pPr>
    <w:rPr>
      <w:rFonts w:ascii="宋体" w:hAnsi="宋体" w:cs="宋体"/>
      <w:b/>
      <w:bCs/>
      <w:sz w:val="22"/>
      <w:szCs w:val="22"/>
      <w:lang w:val="zh-TW" w:eastAsia="zh-TW" w:bidi="zh-TW"/>
    </w:rPr>
  </w:style>
  <w:style w:type="character" w:styleId="988">
    <w:name w:val="font31"/>
    <w:next w:val="988"/>
    <w:link w:val="920"/>
    <w:qFormat/>
    <w:rPr>
      <w:rFonts w:hint="eastAsia" w:ascii="宋体" w:hAnsi="宋体" w:eastAsia="宋体" w:cs="宋体"/>
      <w:color w:val="ff0000"/>
      <w:sz w:val="24"/>
      <w:szCs w:val="24"/>
      <w:u w:val="none"/>
    </w:rPr>
  </w:style>
  <w:style w:type="character" w:styleId="989">
    <w:name w:val="Other|1_"/>
    <w:next w:val="989"/>
    <w:link w:val="990"/>
    <w:rPr>
      <w:rFonts w:ascii="宋体" w:hAnsi="宋体" w:eastAsia="宋体" w:cs="宋体"/>
      <w:sz w:val="22"/>
      <w:szCs w:val="22"/>
      <w:lang w:val="zh-TW" w:eastAsia="zh-TW" w:bidi="zh-TW"/>
    </w:rPr>
  </w:style>
  <w:style w:type="paragraph" w:styleId="990">
    <w:name w:val="Other|1"/>
    <w:basedOn w:val="920"/>
    <w:next w:val="990"/>
    <w:link w:val="989"/>
    <w:pPr>
      <w:jc w:val="left"/>
      <w:spacing w:line="309" w:lineRule="exact"/>
    </w:pPr>
    <w:rPr>
      <w:rFonts w:ascii="宋体" w:hAnsi="宋体" w:cs="宋体"/>
      <w:sz w:val="22"/>
      <w:szCs w:val="22"/>
      <w:lang w:val="zh-TW" w:eastAsia="zh-TW" w:bidi="zh-TW"/>
    </w:rPr>
  </w:style>
  <w:style w:type="character" w:styleId="991">
    <w:name w:val="列出段落 Char"/>
    <w:next w:val="991"/>
    <w:link w:val="992"/>
    <w:rPr>
      <w:rFonts w:ascii="Calibri" w:hAnsi="Calibri" w:eastAsia="宋体"/>
      <w:sz w:val="22"/>
      <w:lang w:bidi="ar-SA"/>
    </w:rPr>
  </w:style>
  <w:style w:type="paragraph" w:styleId="992">
    <w:name w:val="列出段落1"/>
    <w:basedOn w:val="920"/>
    <w:next w:val="992"/>
    <w:link w:val="991"/>
    <w:qFormat/>
    <w:pPr>
      <w:ind w:firstLine="200"/>
      <w:spacing w:line="360" w:lineRule="auto"/>
    </w:pPr>
    <w:rPr>
      <w:rFonts w:ascii="Calibri" w:hAnsi="Calibri"/>
      <w:sz w:val="22"/>
      <w:szCs w:val="20"/>
    </w:rPr>
  </w:style>
  <w:style w:type="character" w:styleId="993">
    <w:name w:val="样式 正文缩进表正文正文非缩进特点段1正文不缩进ALT+Z特点标题四号正文（段落文字）Justifiedp...1 Char"/>
    <w:next w:val="993"/>
    <w:link w:val="920"/>
    <w:rPr>
      <w:rFonts w:ascii="仿宋_GB2312" w:hAnsi="仿宋_GB2312" w:eastAsia="仿宋_GB2312"/>
      <w:color w:val="000000"/>
      <w:sz w:val="24"/>
      <w:lang w:val="en-US" w:eastAsia="zh-CN"/>
    </w:rPr>
  </w:style>
  <w:style w:type="character" w:styleId="994">
    <w:name w:val="Plain Text Char"/>
    <w:next w:val="994"/>
    <w:link w:val="995"/>
    <w:rPr>
      <w:rFonts w:ascii="宋体" w:hAnsi="Courier New" w:eastAsia="楷体_GB2312"/>
      <w:sz w:val="28"/>
    </w:rPr>
  </w:style>
  <w:style w:type="paragraph" w:styleId="995">
    <w:name w:val="Plain Text"/>
    <w:basedOn w:val="920"/>
    <w:next w:val="995"/>
    <w:link w:val="994"/>
    <w:qFormat/>
    <w:rPr>
      <w:rFonts w:ascii="宋体" w:hAnsi="Courier New" w:eastAsia="楷体_GB2312"/>
      <w:sz w:val="28"/>
      <w:szCs w:val="20"/>
    </w:rPr>
  </w:style>
  <w:style w:type="character" w:styleId="996">
    <w:name w:val="font21"/>
    <w:next w:val="996"/>
    <w:link w:val="920"/>
    <w:qFormat/>
    <w:rPr>
      <w:rFonts w:ascii="Times New Roman" w:hAnsi="Times New Roman" w:cs="Times New Roman"/>
      <w:color w:val="ff0000"/>
      <w:sz w:val="24"/>
      <w:szCs w:val="24"/>
      <w:u w:val="none"/>
    </w:rPr>
  </w:style>
  <w:style w:type="character" w:styleId="997">
    <w:name w:val="正文缩进 Char"/>
    <w:next w:val="997"/>
    <w:link w:val="920"/>
    <w:qFormat/>
    <w:rPr>
      <w:rFonts w:eastAsia="楷体_GB2312"/>
      <w:sz w:val="24"/>
      <w:lang w:val="en-US" w:eastAsia="zh-CN" w:bidi="ar-SA"/>
    </w:rPr>
  </w:style>
  <w:style w:type="character" w:styleId="998">
    <w:name w:val="NormalCharacter1"/>
    <w:next w:val="998"/>
    <w:link w:val="920"/>
    <w:qFormat/>
    <w:rPr>
      <w:rFonts w:ascii="Calibri" w:hAnsi="Calibri" w:eastAsia="宋体"/>
    </w:rPr>
  </w:style>
  <w:style w:type="character" w:styleId="999">
    <w:name w:val="Body text|1_"/>
    <w:next w:val="999"/>
    <w:link w:val="1000"/>
    <w:rPr>
      <w:rFonts w:ascii="宋体" w:hAnsi="宋体" w:eastAsia="宋体" w:cs="宋体"/>
      <w:sz w:val="22"/>
      <w:szCs w:val="22"/>
      <w:lang w:val="zh-TW" w:eastAsia="zh-TW" w:bidi="zh-TW"/>
    </w:rPr>
  </w:style>
  <w:style w:type="paragraph" w:styleId="1000">
    <w:name w:val="Body text|1"/>
    <w:basedOn w:val="920"/>
    <w:next w:val="1000"/>
    <w:link w:val="999"/>
    <w:pPr>
      <w:ind w:firstLine="400"/>
      <w:jc w:val="left"/>
      <w:spacing w:line="425" w:lineRule="auto"/>
    </w:pPr>
    <w:rPr>
      <w:rFonts w:ascii="宋体" w:hAnsi="宋体" w:cs="宋体"/>
      <w:sz w:val="22"/>
      <w:szCs w:val="22"/>
      <w:lang w:val="zh-TW" w:eastAsia="zh-TW" w:bidi="zh-TW"/>
    </w:rPr>
  </w:style>
  <w:style w:type="paragraph" w:styleId="1001">
    <w:name w:val="列出段落"/>
    <w:basedOn w:val="920"/>
    <w:next w:val="1001"/>
    <w:link w:val="920"/>
    <w:uiPriority w:val="34"/>
    <w:qFormat/>
    <w:pPr>
      <w:ind w:firstLine="420"/>
    </w:pPr>
    <w:rPr>
      <w:rFonts w:ascii="Calibri" w:hAnsi="Calibri"/>
      <w:szCs w:val="22"/>
    </w:rPr>
  </w:style>
  <w:style w:type="paragraph" w:styleId="1002">
    <w:name w:val="正文 A"/>
    <w:next w:val="1002"/>
    <w:link w:val="920"/>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003">
    <w:name w:val="WPSOffice手动目录 1"/>
    <w:next w:val="1003"/>
    <w:link w:val="920"/>
    <w:rPr>
      <w:lang w:val="en-US" w:eastAsia="zh-CN" w:bidi="ar-SA"/>
    </w:rPr>
  </w:style>
  <w:style w:type="paragraph" w:styleId="1004">
    <w:name w:val="标题3"/>
    <w:basedOn w:val="920"/>
    <w:next w:val="1004"/>
    <w:link w:val="920"/>
    <w:qFormat/>
    <w:pPr>
      <w:spacing w:line="300" w:lineRule="auto"/>
    </w:pPr>
    <w:rPr>
      <w:rFonts w:ascii="宋体" w:hAnsi="宋体"/>
      <w:b/>
      <w:sz w:val="28"/>
    </w:rPr>
  </w:style>
  <w:style w:type="paragraph" w:styleId="1005">
    <w:name w:val="纯文本1"/>
    <w:basedOn w:val="920"/>
    <w:next w:val="1005"/>
    <w:link w:val="920"/>
    <w:qFormat/>
    <w:rPr>
      <w:rFonts w:ascii="宋体" w:hAnsi="Courier New" w:eastAsia="楷体_GB2312"/>
      <w:sz w:val="26"/>
    </w:rPr>
  </w:style>
  <w:style w:type="paragraph" w:styleId="1006">
    <w:name w:val="p0"/>
    <w:basedOn w:val="920"/>
    <w:next w:val="1006"/>
    <w:link w:val="920"/>
    <w:qFormat/>
    <w:pPr>
      <w:widowControl/>
    </w:pPr>
    <w:rPr>
      <w:sz w:val="26"/>
      <w:szCs w:val="26"/>
    </w:rPr>
  </w:style>
  <w:style w:type="paragraph" w:styleId="1007">
    <w:name w:val="修订"/>
    <w:next w:val="1007"/>
    <w:link w:val="920"/>
    <w:uiPriority w:val="99"/>
    <w:unhideWhenUsed/>
    <w:rPr>
      <w:sz w:val="21"/>
      <w:szCs w:val="24"/>
      <w:lang w:val="en-US" w:eastAsia="zh-CN" w:bidi="ar-SA"/>
    </w:rPr>
  </w:style>
  <w:style w:type="paragraph" w:styleId="1008">
    <w:name w:val="纯文本2"/>
    <w:basedOn w:val="920"/>
    <w:next w:val="1008"/>
    <w:link w:val="920"/>
    <w:qFormat/>
    <w:rPr>
      <w:rFonts w:ascii="宋体" w:hAnsi="Courier New"/>
      <w:sz w:val="26"/>
      <w:szCs w:val="20"/>
    </w:rPr>
  </w:style>
  <w:style w:type="paragraph" w:styleId="1009">
    <w:name w:val="_Style 30"/>
    <w:basedOn w:val="920"/>
    <w:next w:val="940"/>
    <w:link w:val="920"/>
    <w:rPr>
      <w:rFonts w:ascii="宋体" w:hAnsi="Courier New"/>
    </w:rPr>
  </w:style>
  <w:style w:type="paragraph" w:styleId="1010">
    <w:name w:val="纯文本21"/>
    <w:basedOn w:val="920"/>
    <w:next w:val="1010"/>
    <w:link w:val="920"/>
    <w:qFormat/>
    <w:rPr>
      <w:rFonts w:ascii="宋体" w:hAnsi="Courier New"/>
      <w:sz w:val="28"/>
    </w:rPr>
  </w:style>
  <w:style w:type="paragraph" w:styleId="1011">
    <w:name w:val="纯文本3"/>
    <w:basedOn w:val="920"/>
    <w:next w:val="1011"/>
    <w:link w:val="920"/>
    <w:qFormat/>
    <w:rPr>
      <w:rFonts w:ascii="宋体" w:hAnsi="Courier New"/>
    </w:rPr>
  </w:style>
  <w:style w:type="paragraph" w:styleId="1012">
    <w:name w:val="列出段落11"/>
    <w:basedOn w:val="920"/>
    <w:next w:val="1012"/>
    <w:link w:val="920"/>
    <w:qFormat/>
    <w:pPr>
      <w:ind w:firstLine="420"/>
    </w:pPr>
    <w:rPr>
      <w:rFonts w:ascii="Calibri" w:hAnsi="Calibri"/>
    </w:rPr>
  </w:style>
  <w:style w:type="paragraph" w:styleId="1013">
    <w:name w:val="+正文"/>
    <w:basedOn w:val="920"/>
    <w:next w:val="1013"/>
    <w:link w:val="920"/>
    <w:qFormat/>
    <w:pPr>
      <w:ind w:firstLine="200"/>
      <w:spacing w:line="360" w:lineRule="auto"/>
    </w:pPr>
    <w:rPr>
      <w:rFonts w:ascii="宋体" w:hAnsi="宋体"/>
      <w:sz w:val="24"/>
      <w:szCs w:val="28"/>
    </w:rPr>
  </w:style>
  <w:style w:type="paragraph" w:styleId="1014">
    <w:name w:val="List Paragraph"/>
    <w:basedOn w:val="920"/>
    <w:next w:val="1014"/>
    <w:link w:val="920"/>
    <w:qFormat/>
    <w:pPr>
      <w:ind w:firstLine="420"/>
    </w:pPr>
    <w:rPr>
      <w:rFonts w:ascii="Calibri" w:hAnsi="Calibri"/>
      <w:szCs w:val="22"/>
    </w:rPr>
  </w:style>
  <w:style w:type="paragraph" w:styleId="1015">
    <w:name w:val="_正文段落"/>
    <w:basedOn w:val="920"/>
    <w:next w:val="1015"/>
    <w:link w:val="920"/>
    <w:qFormat/>
    <w:pPr>
      <w:ind w:firstLine="480"/>
      <w:spacing w:line="360" w:lineRule="auto"/>
    </w:pPr>
    <w:rPr>
      <w:rFonts w:ascii="宋体" w:hAnsi="宋体"/>
      <w:sz w:val="24"/>
    </w:rPr>
  </w:style>
  <w:style w:type="paragraph" w:styleId="1016">
    <w:name w:val="Char1"/>
    <w:basedOn w:val="920"/>
    <w:next w:val="1016"/>
    <w:link w:val="920"/>
    <w:qFormat/>
    <w:rPr>
      <w:rFonts w:ascii="Tahoma" w:hAnsi="Tahoma" w:eastAsia="宋体"/>
      <w:sz w:val="24"/>
    </w:rPr>
  </w:style>
  <w:style w:type="paragraph" w:styleId="1017">
    <w:name w:val="font7"/>
    <w:basedOn w:val="920"/>
    <w:next w:val="1017"/>
    <w:link w:val="920"/>
    <w:qFormat/>
    <w:pPr>
      <w:jc w:val="left"/>
      <w:spacing w:before="100" w:beforeAutospacing="1" w:after="100" w:afterAutospacing="1"/>
      <w:widowControl/>
    </w:pPr>
    <w:rPr>
      <w:rFonts w:ascii="Verdana" w:hAnsi="Verdana"/>
      <w:sz w:val="20"/>
      <w:szCs w:val="20"/>
    </w:rPr>
  </w:style>
  <w:style w:type="paragraph" w:styleId="1018">
    <w:name w:val=" Char Char Char"/>
    <w:basedOn w:val="920"/>
    <w:next w:val="1018"/>
    <w:link w:val="920"/>
    <w:pPr>
      <w:spacing w:line="360" w:lineRule="auto"/>
    </w:pPr>
    <w:rPr>
      <w:sz w:val="28"/>
      <w:szCs w:val="20"/>
    </w:rPr>
  </w:style>
  <w:style w:type="paragraph" w:styleId="1019">
    <w:name w:val="Plain Text1"/>
    <w:basedOn w:val="920"/>
    <w:next w:val="1019"/>
    <w:link w:val="920"/>
    <w:uiPriority w:val="99"/>
    <w:rPr>
      <w:rFonts w:hAnsi="Courier New" w:eastAsia="楷体_GB2312"/>
      <w:sz w:val="28"/>
      <w:szCs w:val="20"/>
    </w:rPr>
  </w:style>
  <w:style w:type="paragraph" w:styleId="1020">
    <w:name w:val="纯文本4"/>
    <w:basedOn w:val="920"/>
    <w:next w:val="1020"/>
    <w:link w:val="920"/>
    <w:qFormat/>
    <w:rPr>
      <w:rFonts w:ascii="宋体" w:hAnsi="Courier New" w:eastAsia="楷体_GB2312"/>
      <w:sz w:val="28"/>
    </w:rPr>
  </w:style>
  <w:style w:type="paragraph" w:styleId="1021">
    <w:name w:val="表中"/>
    <w:basedOn w:val="920"/>
    <w:next w:val="1021"/>
    <w:link w:val="920"/>
    <w:qFormat/>
    <w:pPr>
      <w:jc w:val="center"/>
      <w:spacing w:line="360" w:lineRule="atLeast"/>
    </w:pPr>
    <w:rPr>
      <w:rFonts w:eastAsia="宋体"/>
      <w:sz w:val="21"/>
    </w:rPr>
  </w:style>
  <w:style w:type="paragraph" w:styleId="1022">
    <w:name w:val="TOC 标题"/>
    <w:basedOn w:val="921"/>
    <w:next w:val="920"/>
    <w:link w:val="920"/>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1023">
    <w:name w:val="正文_1"/>
    <w:next w:val="1023"/>
    <w:link w:val="920"/>
    <w:qFormat/>
    <w:pPr>
      <w:jc w:val="both"/>
      <w:widowControl w:val="off"/>
    </w:pPr>
    <w:rPr>
      <w:sz w:val="21"/>
      <w:szCs w:val="22"/>
      <w:lang w:val="en-US" w:eastAsia="zh-CN" w:bidi="ar-SA"/>
    </w:rPr>
  </w:style>
  <w:style w:type="paragraph" w:styleId="1024">
    <w:name w:val="p17"/>
    <w:basedOn w:val="920"/>
    <w:next w:val="1024"/>
    <w:link w:val="920"/>
    <w:qFormat/>
    <w:pPr>
      <w:jc w:val="both"/>
      <w:widowControl w:val="off"/>
    </w:pPr>
    <w:rPr>
      <w:rFonts w:eastAsia="楷体_GB2312"/>
      <w:sz w:val="26"/>
      <w:szCs w:val="26"/>
    </w:rPr>
  </w:style>
  <w:style w:type="paragraph" w:styleId="1025">
    <w:name w:val="列出段落2"/>
    <w:basedOn w:val="920"/>
    <w:next w:val="1025"/>
    <w:link w:val="920"/>
    <w:uiPriority w:val="99"/>
    <w:qFormat/>
    <w:pPr>
      <w:ind w:firstLine="420"/>
    </w:pPr>
    <w:rPr>
      <w:rFonts w:ascii="Calibri" w:hAnsi="Calibri"/>
      <w:szCs w:val="20"/>
    </w:rPr>
  </w:style>
  <w:style w:type="paragraph" w:styleId="1026">
    <w:name w:val="Char Char Char Char"/>
    <w:basedOn w:val="920"/>
    <w:next w:val="1026"/>
    <w:link w:val="920"/>
    <w:rPr>
      <w:szCs w:val="20"/>
    </w:rPr>
  </w:style>
  <w:style w:type="table" w:styleId="1027">
    <w:name w:val="网格型1"/>
    <w:basedOn w:val="927"/>
    <w:next w:val="1027"/>
    <w:link w:val="920"/>
    <w:uiPriority w:val="59"/>
    <w:unhideWhenUsed/>
    <w:qFormat/>
    <w:rPr>
      <w:rFonts w:ascii="Calibri" w:hAnsi="Calibri" w:eastAsia="宋体" w:cs="Times New Roman"/>
    </w:rPr>
    <w:tblPr/>
  </w:style>
  <w:style w:type="paragraph" w:styleId="1028">
    <w:name w:val="_Style 92"/>
    <w:basedOn w:val="920"/>
    <w:next w:val="1001"/>
    <w:link w:val="920"/>
    <w:qFormat/>
    <w:pPr>
      <w:ind w:firstLine="420"/>
    </w:pPr>
    <w:rPr>
      <w:rFonts w:ascii="Calibri" w:hAnsi="Calibri"/>
      <w:szCs w:val="20"/>
    </w:rPr>
  </w:style>
  <w:style w:type="paragraph" w:styleId="1029">
    <w:name w:val="_Style 111"/>
    <w:basedOn w:val="920"/>
    <w:next w:val="1001"/>
    <w:link w:val="920"/>
    <w:uiPriority w:val="34"/>
    <w:qFormat/>
    <w:pPr>
      <w:ind w:firstLine="420"/>
    </w:pPr>
    <w:rPr>
      <w:rFonts w:ascii="Times New Roman" w:hAnsi="Times New Roman" w:eastAsia="宋体"/>
      <w:szCs w:val="24"/>
    </w:rPr>
  </w:style>
  <w:style w:type="character" w:styleId="1030">
    <w:name w:val="10"/>
    <w:next w:val="1030"/>
    <w:link w:val="920"/>
    <w:rPr>
      <w:rFonts w:ascii="等线" w:hAnsi="等线" w:eastAsia="等线" w:cs="等线"/>
    </w:rPr>
  </w:style>
  <w:style w:type="character" w:styleId="1031">
    <w:name w:val="15"/>
    <w:next w:val="1031"/>
    <w:link w:val="920"/>
    <w:rPr>
      <w:rFonts w:ascii="等线" w:hAnsi="等线" w:eastAsia="等线" w:cs="等线"/>
      <w:sz w:val="21"/>
      <w:szCs w:val="21"/>
    </w:rPr>
  </w:style>
  <w:style w:type="paragraph" w:styleId="1032">
    <w:name w:val="纯文本13"/>
    <w:basedOn w:val="920"/>
    <w:next w:val="1032"/>
    <w:link w:val="920"/>
    <w:pPr>
      <w:ind w:left="0" w:right="0"/>
      <w:jc w:val="left"/>
      <w:keepLines w:val="0"/>
      <w:keepNext w:val="0"/>
      <w:spacing w:before="0" w:beforeAutospacing="0" w:after="0" w:afterAutospacing="0"/>
      <w:widowControl/>
      <w:suppressLineNumbers w:val="0"/>
    </w:pPr>
    <w:rPr>
      <w:rFonts w:hint="eastAsia" w:ascii="宋体" w:hAnsi="Courier New" w:eastAsia="楷体_GB2312" w:cs="Times New Roman"/>
      <w:sz w:val="26"/>
      <w:szCs w:val="26"/>
      <w:lang w:val="en-US" w:eastAsia="zh-CN" w:bidi="ar"/>
    </w:rPr>
  </w:style>
  <w:style w:type="paragraph" w:styleId="1033">
    <w:name w:val="List Paragraph1"/>
    <w:basedOn w:val="920"/>
    <w:next w:val="1033"/>
    <w:link w:val="920"/>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034">
    <w:name w:val="纯文本51"/>
    <w:basedOn w:val="920"/>
    <w:next w:val="1034"/>
    <w:link w:val="920"/>
    <w:unhideWhenUsed/>
    <w:qFormat/>
    <w:rPr>
      <w:rFonts w:hint="eastAsia" w:ascii="宋体" w:hAnsi="Courier New" w:eastAsia="楷体_GB2312"/>
      <w:sz w:val="28"/>
      <w:szCs w:val="20"/>
    </w:rPr>
  </w:style>
  <w:style w:type="character" w:styleId="1035">
    <w:name w:val="font11"/>
    <w:next w:val="1035"/>
    <w:link w:val="920"/>
    <w:rPr>
      <w:rFonts w:hint="eastAsia" w:ascii="宋体" w:hAnsi="宋体" w:eastAsia="宋体" w:cs="宋体"/>
      <w:b/>
      <w:bCs/>
      <w:i w:val="0"/>
      <w:iCs w:val="0"/>
      <w:color w:val="000000"/>
      <w:sz w:val="36"/>
      <w:szCs w:val="36"/>
      <w:u w:val="none"/>
    </w:rPr>
  </w:style>
  <w:style w:type="paragraph" w:styleId="1036">
    <w:name w:val="Table Text"/>
    <w:basedOn w:val="920"/>
    <w:next w:val="1036"/>
    <w:link w:val="920"/>
    <w:semiHidden/>
    <w:qFormat/>
    <w:rPr>
      <w:rFonts w:ascii="宋体" w:hAnsi="宋体" w:eastAsia="宋体" w:cs="宋体"/>
      <w:sz w:val="25"/>
      <w:szCs w:val="25"/>
      <w:lang w:val="en-US" w:eastAsia="en-US" w:bidi="ar-SA"/>
    </w:rPr>
  </w:style>
  <w:style w:type="character" w:styleId="1037">
    <w:name w:val="font41"/>
    <w:next w:val="1037"/>
    <w:link w:val="920"/>
    <w:rPr>
      <w:rFonts w:hint="eastAsia" w:ascii="宋体" w:hAnsi="宋体" w:eastAsia="宋体" w:cs="宋体"/>
      <w:i w:val="0"/>
      <w:iCs w:val="0"/>
      <w:color w:val="ff0000"/>
      <w:sz w:val="20"/>
      <w:szCs w:val="20"/>
      <w:u w:val="none"/>
    </w:rPr>
  </w:style>
  <w:style w:type="character" w:styleId="1038">
    <w:name w:val="font51"/>
    <w:next w:val="1038"/>
    <w:link w:val="920"/>
    <w:rPr>
      <w:rFonts w:hint="eastAsia" w:ascii="宋体" w:hAnsi="宋体" w:eastAsia="宋体" w:cs="宋体"/>
      <w:i w:val="0"/>
      <w:iCs w:val="0"/>
      <w:color w:val="ff0000"/>
      <w:sz w:val="21"/>
      <w:szCs w:val="21"/>
      <w:u w:val="none"/>
    </w:rPr>
  </w:style>
  <w:style w:type="character" w:styleId="1039">
    <w:name w:val="font81"/>
    <w:next w:val="1039"/>
    <w:link w:val="920"/>
    <w:rPr>
      <w:rFonts w:hint="eastAsia" w:ascii="宋体" w:hAnsi="宋体" w:eastAsia="宋体" w:cs="宋体"/>
      <w:i w:val="0"/>
      <w:iCs w:val="0"/>
      <w:color w:val="000000"/>
      <w:sz w:val="20"/>
      <w:szCs w:val="20"/>
      <w:u w:val="none"/>
    </w:rPr>
  </w:style>
  <w:style w:type="character" w:styleId="1040">
    <w:name w:val="font91"/>
    <w:next w:val="1040"/>
    <w:link w:val="920"/>
    <w:rPr>
      <w:rFonts w:hint="eastAsia" w:ascii="宋体" w:hAnsi="宋体" w:eastAsia="宋体" w:cs="宋体"/>
      <w:i w:val="0"/>
      <w:iCs w:val="0"/>
      <w:color w:val="00b050"/>
      <w:sz w:val="20"/>
      <w:szCs w:val="20"/>
      <w:u w:val="none"/>
    </w:rPr>
  </w:style>
  <w:style w:type="paragraph" w:styleId="1041">
    <w:name w:val="列出段落3"/>
    <w:basedOn w:val="920"/>
    <w:next w:val="1041"/>
    <w:link w:val="920"/>
    <w:qFormat/>
    <w:pPr>
      <w:ind w:firstLine="420"/>
    </w:pPr>
    <w:rPr>
      <w:rFonts w:ascii="Calibri" w:hAnsi="Calibri"/>
      <w:szCs w:val="22"/>
    </w:rPr>
  </w:style>
  <w:style w:type="paragraph" w:styleId="1042">
    <w:name w:val="Table Paragraph"/>
    <w:basedOn w:val="920"/>
    <w:next w:val="1042"/>
    <w:link w:val="920"/>
    <w:uiPriority w:val="1"/>
    <w:qFormat/>
    <w:rPr>
      <w:rFonts w:ascii="宋体" w:hAnsi="宋体" w:eastAsia="宋体" w:cs="宋体"/>
      <w:lang w:val="zh-CN" w:bidi="zh-CN"/>
    </w:rPr>
  </w:style>
  <w:style w:type="paragraph" w:styleId="1043">
    <w:name w:val="纯文本6"/>
    <w:basedOn w:val="920"/>
    <w:next w:val="1043"/>
    <w:link w:val="920"/>
    <w:qFormat/>
    <w:rPr>
      <w:rFonts w:ascii="宋体" w:hAnsi="Courier New" w:eastAsia="楷体_GB2312"/>
      <w:sz w:val="26"/>
    </w:rPr>
  </w:style>
  <w:style w:type="paragraph" w:styleId="1044">
    <w:name w:val="Char Char Char Char Char Char Char Char Char Char"/>
    <w:basedOn w:val="920"/>
    <w:next w:val="1044"/>
    <w:link w:val="920"/>
    <w:qFormat/>
    <w:pPr>
      <w:ind w:left="360" w:hanging="360"/>
      <w:tabs>
        <w:tab w:val="left" w:pos="420" w:leader="none"/>
      </w:tabs>
    </w:pPr>
    <w:rPr>
      <w:rFonts w:eastAsia="宋体"/>
      <w:sz w:val="24"/>
      <w:szCs w:val="24"/>
    </w:rPr>
  </w:style>
  <w:style w:type="paragraph" w:styleId="1045">
    <w:name w:val="正文缩进1"/>
    <w:next w:val="1045"/>
    <w:link w:val="920"/>
    <w:qFormat/>
    <w:pPr>
      <w:ind w:firstLine="420"/>
      <w:widowControl w:val="off"/>
    </w:pPr>
    <w:rPr>
      <w:rFonts w:ascii="Calibri" w:hAnsi="Calibri" w:eastAsia="楷体_GB2312"/>
      <w:sz w:val="24"/>
      <w:lang w:val="en-US" w:eastAsia="zh-CN" w:bidi="ar-SA"/>
    </w:rPr>
  </w:style>
  <w:style w:type="character" w:styleId="1046">
    <w:name w:val="font61"/>
    <w:basedOn w:val="926"/>
    <w:next w:val="1046"/>
    <w:link w:val="920"/>
    <w:rPr>
      <w:rFonts w:hint="eastAsia" w:ascii="宋体" w:hAnsi="宋体" w:eastAsia="宋体" w:cs="宋体"/>
      <w:b/>
      <w:bCs/>
      <w:i w:val="0"/>
      <w:iCs w:val="0"/>
      <w:color w:val="000000"/>
      <w:sz w:val="24"/>
      <w:szCs w:val="24"/>
      <w:u w:val="none"/>
      <w:vertAlign w:val="superscript"/>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17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451"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8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74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80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01" TargetMode="External"/><Relationship Id="rId19" Type="http://schemas.openxmlformats.org/officeDocument/2006/relationships/hyperlink" Target="http://jszfcg.jsczt.cn/%EF%BC%89%E8%8E%B7%E5%8F%96%E9%87%87%E8%B4%AD%E6%96%87%E4%BB%B6%EF%BC%8C%E5%B9%B6%E4%BA%8E202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谢东宏</cp:lastModifiedBy>
  <cp:revision>5</cp:revision>
  <dcterms:created xsi:type="dcterms:W3CDTF">2024-05-16T08:15:00Z</dcterms:created>
  <dcterms:modified xsi:type="dcterms:W3CDTF">2026-03-30T06:35:40Z</dcterms:modified>
</cp:coreProperties>
</file>